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733C7" w14:textId="77777777" w:rsidR="00AC52AF" w:rsidRDefault="00AC52AF" w:rsidP="00AC52AF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2D2F905" wp14:editId="12A7F52F">
            <wp:extent cx="628650" cy="1971675"/>
            <wp:effectExtent l="0" t="0" r="0" b="9525"/>
            <wp:docPr id="1" name="Picture 1" descr="IBMS Logo 2011_Strap Bottom_W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BMS Logo 2011_Strap Bottom_WEB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A1995" w14:textId="79BD031E" w:rsidR="00AC52AF" w:rsidRPr="00AC52AF" w:rsidRDefault="00AC52AF" w:rsidP="00AC52AF">
      <w:pPr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8"/>
          <w:szCs w:val="28"/>
          <w:lang w:val="en-US"/>
        </w:rPr>
      </w:pPr>
      <w:r w:rsidRPr="00AC52AF">
        <w:rPr>
          <w:rFonts w:asciiTheme="majorHAnsi" w:hAnsiTheme="majorHAnsi" w:cs="Arial"/>
          <w:b/>
          <w:color w:val="000000"/>
          <w:sz w:val="28"/>
          <w:szCs w:val="28"/>
          <w:lang w:val="en-US"/>
        </w:rPr>
        <w:t>Higher</w:t>
      </w:r>
      <w:r w:rsidR="00B241A4">
        <w:rPr>
          <w:rFonts w:asciiTheme="majorHAnsi" w:hAnsiTheme="majorHAnsi" w:cs="Arial"/>
          <w:b/>
          <w:color w:val="000000"/>
          <w:sz w:val="28"/>
          <w:szCs w:val="28"/>
          <w:lang w:val="en-US"/>
        </w:rPr>
        <w:t xml:space="preserve"> Specialist Diploma - Portfolio Essay Titles for </w:t>
      </w:r>
      <w:r w:rsidRPr="00AC52AF">
        <w:rPr>
          <w:rFonts w:asciiTheme="majorHAnsi" w:hAnsiTheme="majorHAnsi" w:cs="Arial"/>
          <w:b/>
          <w:color w:val="000000"/>
          <w:sz w:val="28"/>
          <w:szCs w:val="28"/>
          <w:lang w:val="en-US"/>
        </w:rPr>
        <w:t>Submission in 20</w:t>
      </w:r>
      <w:r w:rsidR="00567E5E">
        <w:rPr>
          <w:rFonts w:asciiTheme="majorHAnsi" w:hAnsiTheme="majorHAnsi" w:cs="Arial"/>
          <w:b/>
          <w:color w:val="000000"/>
          <w:sz w:val="28"/>
          <w:szCs w:val="28"/>
          <w:lang w:val="en-US"/>
        </w:rPr>
        <w:t>2</w:t>
      </w:r>
      <w:r w:rsidR="008B49AE">
        <w:rPr>
          <w:rFonts w:asciiTheme="majorHAnsi" w:hAnsiTheme="majorHAnsi" w:cs="Arial"/>
          <w:b/>
          <w:color w:val="000000"/>
          <w:sz w:val="28"/>
          <w:szCs w:val="28"/>
          <w:lang w:val="en-US"/>
        </w:rPr>
        <w:t>1</w:t>
      </w:r>
    </w:p>
    <w:p w14:paraId="69C43D1F" w14:textId="77777777" w:rsidR="00AC52AF" w:rsidRPr="00EB1526" w:rsidRDefault="00AC52AF" w:rsidP="00AC52AF">
      <w:pPr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Cs w:val="28"/>
          <w:lang w:val="en-US"/>
        </w:rPr>
      </w:pPr>
    </w:p>
    <w:p w14:paraId="2869BFDB" w14:textId="77777777" w:rsidR="00AC52AF" w:rsidRPr="00AC52AF" w:rsidRDefault="00AC52AF" w:rsidP="00AC52AF">
      <w:pPr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8"/>
          <w:szCs w:val="28"/>
          <w:lang w:val="en-US"/>
        </w:rPr>
      </w:pPr>
      <w:r w:rsidRPr="00AC52AF">
        <w:rPr>
          <w:rFonts w:asciiTheme="majorHAnsi" w:hAnsiTheme="majorHAnsi" w:cs="Arial"/>
          <w:b/>
          <w:color w:val="000000"/>
          <w:sz w:val="28"/>
          <w:szCs w:val="28"/>
          <w:lang w:val="en-US"/>
        </w:rPr>
        <w:t>Regulations</w:t>
      </w:r>
    </w:p>
    <w:p w14:paraId="7BF1F61E" w14:textId="77777777" w:rsidR="00AC52AF" w:rsidRPr="00AC52AF" w:rsidRDefault="00AC52AF" w:rsidP="00AC52AF">
      <w:pPr>
        <w:autoSpaceDE w:val="0"/>
        <w:autoSpaceDN w:val="0"/>
        <w:adjustRightInd w:val="0"/>
        <w:rPr>
          <w:rFonts w:asciiTheme="majorHAnsi" w:hAnsiTheme="majorHAnsi"/>
          <w:b/>
          <w:color w:val="000000"/>
          <w:szCs w:val="22"/>
          <w:lang w:val="en-US"/>
        </w:rPr>
      </w:pPr>
    </w:p>
    <w:p w14:paraId="53FA7E1D" w14:textId="4269A240" w:rsidR="00B355F5" w:rsidRDefault="00AC52AF" w:rsidP="00B355F5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Cs w:val="18"/>
          <w:lang w:val="en-US"/>
        </w:rPr>
      </w:pPr>
      <w:r w:rsidRPr="00AC52AF">
        <w:rPr>
          <w:color w:val="000000"/>
          <w:szCs w:val="18"/>
          <w:lang w:val="en-US"/>
        </w:rPr>
        <w:t>Two essays must be included in the portfolio as evidence of experiential learning.</w:t>
      </w:r>
      <w:r w:rsidR="008B49AE">
        <w:rPr>
          <w:color w:val="000000"/>
          <w:szCs w:val="18"/>
          <w:lang w:val="en-US"/>
        </w:rPr>
        <w:t xml:space="preserve"> You can choose any two essay titles from either the 2020 </w:t>
      </w:r>
      <w:r w:rsidR="00C04A56">
        <w:rPr>
          <w:color w:val="000000"/>
          <w:szCs w:val="18"/>
          <w:lang w:val="en-US"/>
        </w:rPr>
        <w:t xml:space="preserve">or </w:t>
      </w:r>
      <w:r w:rsidR="008B49AE">
        <w:rPr>
          <w:color w:val="000000"/>
          <w:szCs w:val="18"/>
          <w:lang w:val="en-US"/>
        </w:rPr>
        <w:t>2021 list of essay titles.</w:t>
      </w:r>
    </w:p>
    <w:p w14:paraId="762701D9" w14:textId="77777777" w:rsidR="00AC52AF" w:rsidRPr="00AC52AF" w:rsidRDefault="00AC52AF" w:rsidP="00AC52AF">
      <w:pPr>
        <w:autoSpaceDE w:val="0"/>
        <w:autoSpaceDN w:val="0"/>
        <w:adjustRightInd w:val="0"/>
        <w:rPr>
          <w:rFonts w:asciiTheme="majorHAnsi" w:hAnsiTheme="majorHAnsi"/>
          <w:color w:val="000000"/>
          <w:szCs w:val="18"/>
          <w:lang w:val="en-US"/>
        </w:rPr>
      </w:pPr>
    </w:p>
    <w:p w14:paraId="5CA6943E" w14:textId="77777777" w:rsidR="00942021" w:rsidRDefault="00AC52AF" w:rsidP="00AC52AF">
      <w:pPr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/>
          <w:color w:val="000000"/>
          <w:szCs w:val="18"/>
          <w:lang w:val="en-US"/>
        </w:rPr>
      </w:pPr>
      <w:r w:rsidRPr="00AC52AF">
        <w:rPr>
          <w:rFonts w:asciiTheme="majorHAnsi" w:hAnsiTheme="majorHAnsi"/>
          <w:color w:val="000000"/>
          <w:szCs w:val="18"/>
          <w:lang w:val="en-US"/>
        </w:rPr>
        <w:t>Essays should be 3000 words (±10%) with a font size of at least 12 point</w:t>
      </w:r>
      <w:r w:rsidR="00942021">
        <w:rPr>
          <w:rFonts w:asciiTheme="majorHAnsi" w:hAnsiTheme="majorHAnsi"/>
          <w:color w:val="000000"/>
          <w:szCs w:val="18"/>
          <w:lang w:val="en-US"/>
        </w:rPr>
        <w:t>.</w:t>
      </w:r>
    </w:p>
    <w:p w14:paraId="7D920728" w14:textId="77777777" w:rsidR="00942021" w:rsidRDefault="00942021" w:rsidP="00942021">
      <w:pPr>
        <w:pStyle w:val="ListParagraph"/>
        <w:rPr>
          <w:rFonts w:asciiTheme="majorHAnsi" w:hAnsiTheme="majorHAnsi"/>
          <w:color w:val="000000"/>
          <w:szCs w:val="18"/>
          <w:lang w:val="en-US"/>
        </w:rPr>
      </w:pPr>
    </w:p>
    <w:p w14:paraId="517EEA6D" w14:textId="182FBEFF" w:rsidR="00AC52AF" w:rsidRPr="00942021" w:rsidRDefault="00942021" w:rsidP="00942021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Theme="majorHAnsi" w:hAnsiTheme="majorHAnsi"/>
        </w:rPr>
      </w:pPr>
      <w:r>
        <w:rPr>
          <w:rFonts w:asciiTheme="majorHAnsi" w:hAnsiTheme="majorHAnsi"/>
        </w:rPr>
        <w:t>Candidates are expected to use appropriate material from various sources within the essa</w:t>
      </w:r>
      <w:r>
        <w:rPr>
          <w:rFonts w:asciiTheme="majorHAnsi" w:hAnsiTheme="majorHAnsi"/>
        </w:rPr>
        <w:t xml:space="preserve">y </w:t>
      </w:r>
      <w:r w:rsidRPr="00942021">
        <w:rPr>
          <w:rFonts w:asciiTheme="majorHAnsi" w:hAnsiTheme="majorHAnsi"/>
          <w:color w:val="000000"/>
          <w:szCs w:val="18"/>
          <w:lang w:val="en-US"/>
        </w:rPr>
        <w:t xml:space="preserve">and </w:t>
      </w:r>
      <w:r>
        <w:rPr>
          <w:rFonts w:asciiTheme="majorHAnsi" w:hAnsiTheme="majorHAnsi"/>
          <w:color w:val="000000"/>
          <w:szCs w:val="18"/>
          <w:lang w:val="en-US"/>
        </w:rPr>
        <w:t xml:space="preserve">these </w:t>
      </w:r>
      <w:r w:rsidRPr="00942021">
        <w:rPr>
          <w:rFonts w:asciiTheme="majorHAnsi" w:hAnsiTheme="majorHAnsi"/>
          <w:color w:val="000000"/>
          <w:szCs w:val="18"/>
          <w:lang w:val="en-US"/>
        </w:rPr>
        <w:t xml:space="preserve">must be referenced in either the </w:t>
      </w:r>
      <w:r w:rsidRPr="00942021">
        <w:rPr>
          <w:rFonts w:asciiTheme="majorHAnsi" w:hAnsiTheme="majorHAnsi"/>
          <w:color w:val="000000"/>
          <w:szCs w:val="18"/>
          <w:lang w:val="en-US"/>
        </w:rPr>
        <w:t xml:space="preserve">Harvard </w:t>
      </w:r>
      <w:r w:rsidRPr="00942021">
        <w:rPr>
          <w:rFonts w:asciiTheme="majorHAnsi" w:hAnsiTheme="majorHAnsi"/>
          <w:b/>
          <w:bCs/>
          <w:color w:val="000000"/>
          <w:szCs w:val="18"/>
          <w:u w:val="single"/>
          <w:lang w:val="en-US"/>
        </w:rPr>
        <w:t>or</w:t>
      </w:r>
      <w:r w:rsidRPr="00942021">
        <w:rPr>
          <w:rFonts w:asciiTheme="majorHAnsi" w:hAnsiTheme="majorHAnsi"/>
          <w:color w:val="000000"/>
          <w:szCs w:val="18"/>
          <w:lang w:val="en-US"/>
        </w:rPr>
        <w:t xml:space="preserve"> Vancouver format.</w:t>
      </w:r>
    </w:p>
    <w:p w14:paraId="0CF43689" w14:textId="77777777" w:rsidR="00AC52AF" w:rsidRPr="00AC52AF" w:rsidRDefault="00AC52AF" w:rsidP="00AC52AF">
      <w:pPr>
        <w:autoSpaceDE w:val="0"/>
        <w:autoSpaceDN w:val="0"/>
        <w:adjustRightInd w:val="0"/>
        <w:rPr>
          <w:rFonts w:asciiTheme="majorHAnsi" w:hAnsiTheme="majorHAnsi"/>
          <w:color w:val="000000"/>
          <w:szCs w:val="18"/>
          <w:lang w:val="en-US"/>
        </w:rPr>
      </w:pPr>
    </w:p>
    <w:p w14:paraId="61CE3457" w14:textId="77777777" w:rsidR="00942021" w:rsidRPr="00942021" w:rsidRDefault="00942021" w:rsidP="00144E76">
      <w:pPr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/>
          <w:color w:val="000000"/>
          <w:szCs w:val="18"/>
          <w:lang w:val="en-US"/>
        </w:rPr>
      </w:pPr>
      <w:r>
        <w:rPr>
          <w:rFonts w:asciiTheme="majorHAnsi" w:hAnsiTheme="majorHAnsi"/>
          <w:color w:val="000000"/>
          <w:szCs w:val="18"/>
          <w:lang w:val="en-US"/>
        </w:rPr>
        <w:t>Candidates should</w:t>
      </w:r>
      <w:r w:rsidR="00F12809" w:rsidRPr="008B49AE">
        <w:rPr>
          <w:rFonts w:asciiTheme="majorHAnsi" w:hAnsiTheme="majorHAnsi"/>
          <w:color w:val="000000"/>
          <w:szCs w:val="18"/>
          <w:lang w:val="en-US"/>
        </w:rPr>
        <w:t xml:space="preserve"> note that all essays will be entered into </w:t>
      </w:r>
      <w:r w:rsidR="008B49AE" w:rsidRPr="008B49AE">
        <w:rPr>
          <w:rFonts w:asciiTheme="majorHAnsi" w:hAnsiTheme="majorHAnsi"/>
          <w:color w:val="000000"/>
          <w:szCs w:val="18"/>
          <w:lang w:val="en-US"/>
        </w:rPr>
        <w:t>the originality checking</w:t>
      </w:r>
      <w:r w:rsidR="00704402" w:rsidRPr="008B49AE">
        <w:rPr>
          <w:rFonts w:asciiTheme="majorHAnsi" w:hAnsiTheme="majorHAnsi"/>
          <w:color w:val="000000"/>
          <w:szCs w:val="18"/>
          <w:lang w:val="en-US"/>
        </w:rPr>
        <w:t xml:space="preserve"> software system </w:t>
      </w:r>
      <w:r w:rsidR="008B49AE" w:rsidRPr="008B49AE">
        <w:rPr>
          <w:rFonts w:asciiTheme="majorHAnsi" w:hAnsiTheme="majorHAnsi"/>
          <w:color w:val="000000"/>
          <w:szCs w:val="18"/>
          <w:lang w:val="en-US"/>
        </w:rPr>
        <w:t xml:space="preserve">called Turnitin. </w:t>
      </w:r>
      <w:r w:rsidR="008B49AE" w:rsidRPr="00F20B02">
        <w:t xml:space="preserve">This software produces a report that highlights not only how much text is </w:t>
      </w:r>
      <w:proofErr w:type="gramStart"/>
      <w:r w:rsidR="008B49AE" w:rsidRPr="00F20B02">
        <w:t>similar to</w:t>
      </w:r>
      <w:proofErr w:type="gramEnd"/>
      <w:r w:rsidR="008B49AE" w:rsidRPr="00F20B02">
        <w:t xml:space="preserve"> other sources but also where this material is located. </w:t>
      </w:r>
    </w:p>
    <w:p w14:paraId="3EBAE245" w14:textId="77777777" w:rsidR="00942021" w:rsidRDefault="00942021" w:rsidP="00942021">
      <w:pPr>
        <w:pStyle w:val="ListParagraph"/>
      </w:pPr>
    </w:p>
    <w:p w14:paraId="59BE293D" w14:textId="77777777" w:rsidR="00942021" w:rsidRDefault="008B49AE" w:rsidP="00942021">
      <w:pPr>
        <w:autoSpaceDE w:val="0"/>
        <w:autoSpaceDN w:val="0"/>
        <w:adjustRightInd w:val="0"/>
        <w:ind w:left="360"/>
        <w:rPr>
          <w:rFonts w:asciiTheme="majorHAnsi" w:hAnsiTheme="majorHAnsi" w:cs="Arial"/>
          <w:b/>
          <w:color w:val="000000"/>
          <w:sz w:val="28"/>
          <w:szCs w:val="28"/>
        </w:rPr>
      </w:pPr>
      <w:r>
        <w:t xml:space="preserve">The </w:t>
      </w:r>
      <w:r w:rsidRPr="00F20B02">
        <w:t>similarity score</w:t>
      </w:r>
      <w:r>
        <w:t xml:space="preserve"> that is produced as part of its </w:t>
      </w:r>
      <w:r w:rsidR="00942021">
        <w:t xml:space="preserve">Turnitin </w:t>
      </w:r>
      <w:r>
        <w:t>report requires the academic judgement of the examiners and the IBMS Head of Examinations to interpret whether this necessitates a</w:t>
      </w:r>
      <w:r w:rsidR="00942021">
        <w:t>ny a</w:t>
      </w:r>
      <w:r>
        <w:t>ction.</w:t>
      </w:r>
      <w:r w:rsidR="00440CA4">
        <w:t xml:space="preserve"> Where plagiarism is detected, or if the similarity score is unacceptably high, it will be treated as academic malpractice and may have serious consequences</w:t>
      </w:r>
      <w:r w:rsidR="003118F0">
        <w:t>. This could include the failure of the portfolio</w:t>
      </w:r>
    </w:p>
    <w:p w14:paraId="270C4BC7" w14:textId="77777777" w:rsidR="00942021" w:rsidRDefault="00942021" w:rsidP="00942021">
      <w:pPr>
        <w:autoSpaceDE w:val="0"/>
        <w:autoSpaceDN w:val="0"/>
        <w:adjustRightInd w:val="0"/>
        <w:ind w:left="360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3D270094" w14:textId="1DC3DAA6" w:rsidR="00AC52AF" w:rsidRDefault="00B241A4" w:rsidP="00942021">
      <w:pPr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>Important Points to Remember</w:t>
      </w:r>
    </w:p>
    <w:p w14:paraId="1C4DF03B" w14:textId="7F2CE9BD" w:rsidR="00AC52AF" w:rsidRPr="00942021" w:rsidRDefault="00942021" w:rsidP="00942021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942021">
        <w:rPr>
          <w:rFonts w:asciiTheme="majorHAnsi" w:hAnsiTheme="majorHAnsi" w:cs="Arial"/>
          <w:bCs/>
          <w:color w:val="000000"/>
        </w:rPr>
        <w:t>T</w:t>
      </w:r>
      <w:r w:rsidRPr="00942021">
        <w:rPr>
          <w:rFonts w:asciiTheme="majorHAnsi" w:hAnsiTheme="majorHAnsi"/>
          <w:bCs/>
          <w:lang w:val="en-US"/>
        </w:rPr>
        <w:t>he completion of the two essays forms parts of the portfolio requirements for the HSD. These essay</w:t>
      </w:r>
      <w:r>
        <w:rPr>
          <w:rFonts w:asciiTheme="majorHAnsi" w:hAnsiTheme="majorHAnsi"/>
          <w:bCs/>
          <w:lang w:val="en-US"/>
        </w:rPr>
        <w:t>s</w:t>
      </w:r>
      <w:r w:rsidRPr="00942021">
        <w:rPr>
          <w:rFonts w:asciiTheme="majorHAnsi" w:hAnsiTheme="majorHAnsi"/>
          <w:bCs/>
          <w:lang w:val="en-US"/>
        </w:rPr>
        <w:t xml:space="preserve"> help candidates to demonstrate to the examiners that they have a </w:t>
      </w:r>
      <w:r w:rsidRPr="00942021">
        <w:rPr>
          <w:rFonts w:eastAsia="Times New Roman"/>
          <w:bCs/>
        </w:rPr>
        <w:t>comprehensive understanding of a specific field of biomedical science and knowledge and understanding of current issues and developments which are key learning outcomes of the HSD.</w:t>
      </w:r>
      <w:r>
        <w:rPr>
          <w:bCs/>
          <w:color w:val="000000"/>
          <w:lang w:val="en-US"/>
        </w:rPr>
        <w:t xml:space="preserve"> </w:t>
      </w:r>
      <w:r w:rsidR="00AC52AF" w:rsidRPr="00AC52AF">
        <w:rPr>
          <w:rFonts w:asciiTheme="majorHAnsi" w:eastAsia="Calibri" w:hAnsiTheme="majorHAnsi" w:cs="Times New Roman"/>
          <w:bCs/>
          <w:color w:val="000000"/>
          <w:szCs w:val="12"/>
        </w:rPr>
        <w:t>At this level, you should be able to demonstrate:</w:t>
      </w:r>
    </w:p>
    <w:p w14:paraId="7505BF54" w14:textId="77777777" w:rsidR="00AC52AF" w:rsidRPr="00AC52AF" w:rsidRDefault="00AC52AF" w:rsidP="00AC52AF">
      <w:pPr>
        <w:numPr>
          <w:ilvl w:val="0"/>
          <w:numId w:val="8"/>
        </w:numPr>
        <w:autoSpaceDE w:val="0"/>
        <w:autoSpaceDN w:val="0"/>
        <w:adjustRightInd w:val="0"/>
        <w:rPr>
          <w:rFonts w:asciiTheme="majorHAnsi" w:eastAsia="Calibri" w:hAnsiTheme="majorHAnsi" w:cs="Times New Roman"/>
          <w:bCs/>
          <w:color w:val="000000"/>
        </w:rPr>
      </w:pPr>
      <w:r w:rsidRPr="00AC52AF">
        <w:rPr>
          <w:rFonts w:asciiTheme="majorHAnsi" w:eastAsia="Calibri" w:hAnsiTheme="majorHAnsi" w:cs="Times New Roman"/>
          <w:bCs/>
          <w:color w:val="000000"/>
          <w:szCs w:val="12"/>
        </w:rPr>
        <w:t>a systematic understanding of knowledge and a critical awareness of current problems, much of which is at, or informed by, work at the forefront of the academic discipline</w:t>
      </w:r>
    </w:p>
    <w:p w14:paraId="7889E6AF" w14:textId="77777777" w:rsidR="00AC52AF" w:rsidRPr="00AC52AF" w:rsidRDefault="00AC52AF" w:rsidP="00AC52AF">
      <w:pPr>
        <w:numPr>
          <w:ilvl w:val="0"/>
          <w:numId w:val="8"/>
        </w:numPr>
        <w:autoSpaceDE w:val="0"/>
        <w:autoSpaceDN w:val="0"/>
        <w:adjustRightInd w:val="0"/>
        <w:rPr>
          <w:rFonts w:asciiTheme="majorHAnsi" w:eastAsia="Calibri" w:hAnsiTheme="majorHAnsi" w:cs="Times New Roman"/>
          <w:bCs/>
          <w:color w:val="000000"/>
        </w:rPr>
      </w:pPr>
      <w:r w:rsidRPr="00AC52AF">
        <w:rPr>
          <w:rFonts w:asciiTheme="majorHAnsi" w:eastAsia="Calibri" w:hAnsiTheme="majorHAnsi" w:cs="Times New Roman"/>
          <w:bCs/>
          <w:color w:val="000000"/>
          <w:szCs w:val="12"/>
        </w:rPr>
        <w:t>a comprehensive understanding of techniques applicable to their own research</w:t>
      </w:r>
    </w:p>
    <w:p w14:paraId="5D63BA70" w14:textId="77777777" w:rsidR="00AC52AF" w:rsidRPr="00AC52AF" w:rsidRDefault="00AC52AF" w:rsidP="00AC52AF">
      <w:pPr>
        <w:numPr>
          <w:ilvl w:val="0"/>
          <w:numId w:val="8"/>
        </w:numPr>
        <w:autoSpaceDE w:val="0"/>
        <w:autoSpaceDN w:val="0"/>
        <w:adjustRightInd w:val="0"/>
        <w:rPr>
          <w:rFonts w:asciiTheme="majorHAnsi" w:eastAsia="Calibri" w:hAnsiTheme="majorHAnsi" w:cs="Times New Roman"/>
          <w:bCs/>
          <w:color w:val="000000"/>
        </w:rPr>
      </w:pPr>
      <w:r w:rsidRPr="00AC52AF">
        <w:rPr>
          <w:rFonts w:asciiTheme="majorHAnsi" w:eastAsia="Calibri" w:hAnsiTheme="majorHAnsi" w:cs="Times New Roman"/>
          <w:bCs/>
          <w:color w:val="000000"/>
          <w:szCs w:val="12"/>
        </w:rPr>
        <w:t>originality in the application of knowledge</w:t>
      </w:r>
    </w:p>
    <w:p w14:paraId="55F4460F" w14:textId="77777777" w:rsidR="00AC52AF" w:rsidRPr="00AC52AF" w:rsidRDefault="00AC52AF" w:rsidP="00AC52AF">
      <w:pPr>
        <w:numPr>
          <w:ilvl w:val="0"/>
          <w:numId w:val="8"/>
        </w:numPr>
        <w:autoSpaceDE w:val="0"/>
        <w:autoSpaceDN w:val="0"/>
        <w:adjustRightInd w:val="0"/>
        <w:rPr>
          <w:rFonts w:asciiTheme="majorHAnsi" w:eastAsia="Calibri" w:hAnsiTheme="majorHAnsi" w:cs="Times New Roman"/>
          <w:bCs/>
          <w:color w:val="000000"/>
        </w:rPr>
      </w:pPr>
      <w:r w:rsidRPr="00AC52AF">
        <w:rPr>
          <w:rFonts w:asciiTheme="majorHAnsi" w:eastAsia="Calibri" w:hAnsiTheme="majorHAnsi" w:cs="Times New Roman"/>
          <w:bCs/>
          <w:color w:val="000000"/>
          <w:szCs w:val="12"/>
        </w:rPr>
        <w:t>a conceptual understanding that enables critical evaluation of current research in their discipline</w:t>
      </w:r>
    </w:p>
    <w:p w14:paraId="17309275" w14:textId="77777777" w:rsidR="00AC52AF" w:rsidRPr="00AC52AF" w:rsidRDefault="00AC52AF" w:rsidP="00AC52AF">
      <w:pPr>
        <w:tabs>
          <w:tab w:val="left" w:pos="0"/>
        </w:tabs>
        <w:ind w:left="1440" w:hanging="1440"/>
        <w:rPr>
          <w:rFonts w:asciiTheme="majorHAnsi" w:eastAsia="Calibri" w:hAnsiTheme="majorHAnsi" w:cs="Arial"/>
          <w:bCs/>
          <w:color w:val="000000"/>
          <w:sz w:val="20"/>
          <w:szCs w:val="20"/>
        </w:rPr>
      </w:pPr>
    </w:p>
    <w:p w14:paraId="3D6F4049" w14:textId="7ABEF355" w:rsidR="00AC52AF" w:rsidRPr="00AC52AF" w:rsidRDefault="00AC52AF" w:rsidP="00813503">
      <w:pPr>
        <w:rPr>
          <w:rFonts w:asciiTheme="majorHAnsi" w:eastAsia="Calibri" w:hAnsiTheme="majorHAnsi" w:cs="Times New Roman"/>
          <w:bCs/>
          <w:color w:val="000000"/>
        </w:rPr>
      </w:pPr>
      <w:r w:rsidRPr="00AC52AF">
        <w:rPr>
          <w:rFonts w:asciiTheme="majorHAnsi" w:eastAsia="Calibri" w:hAnsiTheme="majorHAnsi" w:cs="Times New Roman"/>
          <w:bCs/>
          <w:color w:val="000000"/>
        </w:rPr>
        <w:lastRenderedPageBreak/>
        <w:t xml:space="preserve">In constructing your </w:t>
      </w:r>
      <w:proofErr w:type="gramStart"/>
      <w:r w:rsidRPr="00AC52AF">
        <w:rPr>
          <w:rFonts w:asciiTheme="majorHAnsi" w:eastAsia="Calibri" w:hAnsiTheme="majorHAnsi" w:cs="Times New Roman"/>
          <w:bCs/>
          <w:color w:val="000000"/>
        </w:rPr>
        <w:t>essay</w:t>
      </w:r>
      <w:r w:rsidR="00942021">
        <w:rPr>
          <w:rFonts w:asciiTheme="majorHAnsi" w:eastAsia="Calibri" w:hAnsiTheme="majorHAnsi" w:cs="Times New Roman"/>
          <w:bCs/>
          <w:color w:val="000000"/>
        </w:rPr>
        <w:t>s</w:t>
      </w:r>
      <w:proofErr w:type="gramEnd"/>
      <w:r w:rsidRPr="00AC52AF">
        <w:rPr>
          <w:rFonts w:asciiTheme="majorHAnsi" w:eastAsia="Calibri" w:hAnsiTheme="majorHAnsi" w:cs="Times New Roman"/>
          <w:bCs/>
          <w:color w:val="000000"/>
        </w:rPr>
        <w:t xml:space="preserve"> you should:</w:t>
      </w:r>
    </w:p>
    <w:p w14:paraId="700209AE" w14:textId="77777777" w:rsidR="00AC52AF" w:rsidRPr="00AC52AF" w:rsidRDefault="00AC52AF" w:rsidP="00AC52AF">
      <w:pPr>
        <w:numPr>
          <w:ilvl w:val="0"/>
          <w:numId w:val="7"/>
        </w:numPr>
        <w:rPr>
          <w:rFonts w:asciiTheme="majorHAnsi" w:hAnsiTheme="majorHAnsi"/>
          <w:bCs/>
          <w:iCs/>
          <w:color w:val="000000"/>
        </w:rPr>
      </w:pPr>
      <w:r w:rsidRPr="00AC52AF">
        <w:rPr>
          <w:rFonts w:asciiTheme="majorHAnsi" w:hAnsiTheme="majorHAnsi"/>
          <w:bCs/>
          <w:iCs/>
          <w:color w:val="000000"/>
        </w:rPr>
        <w:t>critically evaluate/discuss</w:t>
      </w:r>
    </w:p>
    <w:p w14:paraId="193A5E43" w14:textId="77777777" w:rsidR="00AC52AF" w:rsidRPr="00AC52AF" w:rsidRDefault="00AC52AF" w:rsidP="00AC52AF">
      <w:pPr>
        <w:numPr>
          <w:ilvl w:val="0"/>
          <w:numId w:val="7"/>
        </w:numPr>
        <w:rPr>
          <w:rFonts w:asciiTheme="majorHAnsi" w:hAnsiTheme="majorHAnsi"/>
          <w:bCs/>
          <w:iCs/>
          <w:color w:val="000000"/>
        </w:rPr>
      </w:pPr>
      <w:r w:rsidRPr="00AC52AF">
        <w:rPr>
          <w:rFonts w:asciiTheme="majorHAnsi" w:hAnsiTheme="majorHAnsi"/>
          <w:bCs/>
          <w:iCs/>
          <w:color w:val="000000"/>
        </w:rPr>
        <w:t>judge the relevance and significance of information</w:t>
      </w:r>
    </w:p>
    <w:p w14:paraId="6F3EE22A" w14:textId="77777777" w:rsidR="00AC52AF" w:rsidRPr="00AC52AF" w:rsidRDefault="00AC52AF" w:rsidP="00AC52AF">
      <w:pPr>
        <w:numPr>
          <w:ilvl w:val="0"/>
          <w:numId w:val="7"/>
        </w:numPr>
        <w:rPr>
          <w:rFonts w:asciiTheme="majorHAnsi" w:hAnsiTheme="majorHAnsi"/>
          <w:bCs/>
          <w:iCs/>
          <w:color w:val="000000"/>
        </w:rPr>
      </w:pPr>
      <w:r w:rsidRPr="00AC52AF">
        <w:rPr>
          <w:rFonts w:asciiTheme="majorHAnsi" w:hAnsiTheme="majorHAnsi"/>
          <w:bCs/>
          <w:iCs/>
          <w:color w:val="000000"/>
        </w:rPr>
        <w:t xml:space="preserve">evaluate claims, inferences, </w:t>
      </w:r>
      <w:proofErr w:type="gramStart"/>
      <w:r w:rsidRPr="00AC52AF">
        <w:rPr>
          <w:rFonts w:asciiTheme="majorHAnsi" w:hAnsiTheme="majorHAnsi"/>
          <w:bCs/>
          <w:iCs/>
          <w:color w:val="000000"/>
        </w:rPr>
        <w:t>arguments</w:t>
      </w:r>
      <w:proofErr w:type="gramEnd"/>
      <w:r w:rsidRPr="00AC52AF">
        <w:rPr>
          <w:rFonts w:asciiTheme="majorHAnsi" w:hAnsiTheme="majorHAnsi"/>
          <w:bCs/>
          <w:iCs/>
          <w:color w:val="000000"/>
        </w:rPr>
        <w:t xml:space="preserve"> and explanations</w:t>
      </w:r>
    </w:p>
    <w:p w14:paraId="5A775D71" w14:textId="77777777" w:rsidR="00AC52AF" w:rsidRPr="00AC52AF" w:rsidRDefault="00AC52AF" w:rsidP="00AC52AF">
      <w:pPr>
        <w:numPr>
          <w:ilvl w:val="0"/>
          <w:numId w:val="7"/>
        </w:numPr>
        <w:rPr>
          <w:rFonts w:asciiTheme="majorHAnsi" w:hAnsiTheme="majorHAnsi"/>
          <w:bCs/>
          <w:iCs/>
          <w:color w:val="000000"/>
        </w:rPr>
      </w:pPr>
      <w:r w:rsidRPr="00AC52AF">
        <w:rPr>
          <w:rFonts w:asciiTheme="majorHAnsi" w:hAnsiTheme="majorHAnsi"/>
          <w:bCs/>
          <w:iCs/>
          <w:color w:val="000000"/>
        </w:rPr>
        <w:t>construct clear and coherent arguments</w:t>
      </w:r>
    </w:p>
    <w:p w14:paraId="30489F61" w14:textId="77777777" w:rsidR="00AC52AF" w:rsidRPr="00AC52AF" w:rsidRDefault="00AC52AF" w:rsidP="00AC52AF">
      <w:pPr>
        <w:numPr>
          <w:ilvl w:val="0"/>
          <w:numId w:val="7"/>
        </w:numPr>
        <w:rPr>
          <w:rFonts w:asciiTheme="majorHAnsi" w:hAnsiTheme="majorHAnsi"/>
          <w:bCs/>
          <w:iCs/>
          <w:color w:val="000000"/>
        </w:rPr>
      </w:pPr>
      <w:r w:rsidRPr="00AC52AF">
        <w:rPr>
          <w:rFonts w:asciiTheme="majorHAnsi" w:hAnsiTheme="majorHAnsi"/>
          <w:bCs/>
          <w:iCs/>
          <w:color w:val="000000"/>
        </w:rPr>
        <w:t>form well-reasoned judgements and decisions</w:t>
      </w:r>
    </w:p>
    <w:p w14:paraId="6D171238" w14:textId="77777777" w:rsidR="00AC52AF" w:rsidRPr="00AC52AF" w:rsidRDefault="00AC52AF" w:rsidP="00AC52AF">
      <w:pPr>
        <w:numPr>
          <w:ilvl w:val="0"/>
          <w:numId w:val="7"/>
        </w:numPr>
        <w:rPr>
          <w:rFonts w:asciiTheme="majorHAnsi" w:hAnsiTheme="majorHAnsi"/>
          <w:bCs/>
          <w:iCs/>
          <w:color w:val="000000"/>
        </w:rPr>
      </w:pPr>
      <w:r w:rsidRPr="00AC52AF">
        <w:rPr>
          <w:rFonts w:asciiTheme="majorHAnsi" w:hAnsiTheme="majorHAnsi"/>
          <w:bCs/>
          <w:iCs/>
          <w:color w:val="000000"/>
        </w:rPr>
        <w:t>integrate and appraise reading and research</w:t>
      </w:r>
    </w:p>
    <w:p w14:paraId="3A2699A0" w14:textId="415E0DA3" w:rsidR="00AC52AF" w:rsidRPr="00B355F5" w:rsidRDefault="00AC52AF" w:rsidP="00AC52AF">
      <w:pPr>
        <w:numPr>
          <w:ilvl w:val="0"/>
          <w:numId w:val="7"/>
        </w:numPr>
        <w:rPr>
          <w:bCs/>
          <w:iCs/>
          <w:color w:val="000000"/>
        </w:rPr>
      </w:pPr>
      <w:r w:rsidRPr="00AC52AF">
        <w:rPr>
          <w:bCs/>
          <w:iCs/>
          <w:color w:val="000000"/>
        </w:rPr>
        <w:t>be original in your application of knowledge</w:t>
      </w:r>
    </w:p>
    <w:p w14:paraId="75E07420" w14:textId="77777777" w:rsidR="00AC52AF" w:rsidRPr="00AC52AF" w:rsidRDefault="00AC52AF" w:rsidP="00AC52AF">
      <w:pPr>
        <w:rPr>
          <w:b/>
          <w:u w:val="single"/>
        </w:rPr>
      </w:pPr>
    </w:p>
    <w:p w14:paraId="3ED3EA22" w14:textId="77777777" w:rsidR="00AC52AF" w:rsidRPr="00AC52AF" w:rsidRDefault="00AC52AF" w:rsidP="00AC52AF">
      <w:pPr>
        <w:rPr>
          <w:b/>
          <w:u w:val="single"/>
        </w:rPr>
      </w:pPr>
    </w:p>
    <w:p w14:paraId="7892CE81" w14:textId="7982150B" w:rsidR="00A34F5A" w:rsidRPr="00071A6B" w:rsidRDefault="00882872">
      <w:pPr>
        <w:rPr>
          <w:b/>
          <w:sz w:val="28"/>
          <w:szCs w:val="28"/>
        </w:rPr>
      </w:pPr>
      <w:r w:rsidRPr="00882872">
        <w:rPr>
          <w:b/>
          <w:sz w:val="28"/>
          <w:szCs w:val="28"/>
        </w:rPr>
        <w:t>HSD Essay Titles for 20</w:t>
      </w:r>
      <w:r w:rsidR="00793FD5">
        <w:rPr>
          <w:b/>
          <w:sz w:val="28"/>
          <w:szCs w:val="28"/>
        </w:rPr>
        <w:t>2</w:t>
      </w:r>
      <w:r w:rsidR="003118F0">
        <w:rPr>
          <w:b/>
          <w:sz w:val="28"/>
          <w:szCs w:val="28"/>
        </w:rPr>
        <w:t>1</w:t>
      </w:r>
    </w:p>
    <w:p w14:paraId="66EA993D" w14:textId="77777777" w:rsidR="00942021" w:rsidRPr="00A34F5A" w:rsidRDefault="00942021">
      <w:pPr>
        <w:rPr>
          <w:rFonts w:asciiTheme="majorHAnsi" w:hAnsiTheme="majorHAnsi"/>
          <w:b/>
        </w:rPr>
      </w:pPr>
    </w:p>
    <w:p w14:paraId="33092539" w14:textId="77777777" w:rsidR="000B7BC5" w:rsidRPr="00B241A4" w:rsidRDefault="009C6732" w:rsidP="00DC6E18">
      <w:pPr>
        <w:rPr>
          <w:rFonts w:asciiTheme="majorHAnsi" w:hAnsiTheme="majorHAnsi"/>
          <w:b/>
          <w:sz w:val="28"/>
        </w:rPr>
      </w:pPr>
      <w:r w:rsidRPr="001063E5">
        <w:rPr>
          <w:rFonts w:asciiTheme="majorHAnsi" w:hAnsiTheme="majorHAnsi"/>
          <w:b/>
          <w:sz w:val="28"/>
        </w:rPr>
        <w:t>Cellular Pathology</w:t>
      </w:r>
    </w:p>
    <w:p w14:paraId="7C0F0B7F" w14:textId="39411100" w:rsidR="00DC6E18" w:rsidRDefault="00520FD3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Critically appraise the histological investigations employed in the study of muscle diseases within cellular pathology.</w:t>
      </w:r>
    </w:p>
    <w:p w14:paraId="1036124E" w14:textId="51059B2A" w:rsidR="00520FD3" w:rsidRDefault="00520FD3">
      <w:pPr>
        <w:rPr>
          <w:rFonts w:eastAsia="Times New Roman"/>
          <w:lang w:val="en-US"/>
        </w:rPr>
      </w:pPr>
    </w:p>
    <w:p w14:paraId="5F1E8A93" w14:textId="77777777" w:rsidR="00942021" w:rsidRDefault="00942021">
      <w:pPr>
        <w:rPr>
          <w:rFonts w:eastAsia="Times New Roman"/>
          <w:lang w:val="en-US"/>
        </w:rPr>
      </w:pPr>
    </w:p>
    <w:p w14:paraId="28CAEFF5" w14:textId="69B5D898" w:rsidR="00520FD3" w:rsidRDefault="00520FD3">
      <w:pPr>
        <w:rPr>
          <w:rFonts w:asciiTheme="majorHAnsi" w:hAnsiTheme="majorHAnsi"/>
          <w:b/>
        </w:rPr>
      </w:pPr>
      <w:r>
        <w:rPr>
          <w:rFonts w:eastAsia="Times New Roman"/>
        </w:rPr>
        <w:t>Debate the statement “Persistent inflammation is the cause of cancer.”</w:t>
      </w:r>
    </w:p>
    <w:p w14:paraId="68390085" w14:textId="790FE8CC" w:rsidR="00A34F5A" w:rsidRDefault="00A34F5A" w:rsidP="0089288C">
      <w:pPr>
        <w:rPr>
          <w:rFonts w:asciiTheme="majorHAnsi" w:hAnsiTheme="majorHAnsi"/>
          <w:b/>
        </w:rPr>
      </w:pPr>
    </w:p>
    <w:p w14:paraId="19ED75E4" w14:textId="77777777" w:rsidR="00942021" w:rsidRPr="00A34F5A" w:rsidRDefault="00942021" w:rsidP="0089288C">
      <w:pPr>
        <w:rPr>
          <w:rFonts w:asciiTheme="majorHAnsi" w:hAnsiTheme="majorHAnsi"/>
          <w:b/>
        </w:rPr>
      </w:pPr>
    </w:p>
    <w:p w14:paraId="7910D746" w14:textId="503DFB7C" w:rsidR="00DC6E18" w:rsidRPr="00B355F5" w:rsidRDefault="009C6732" w:rsidP="00DC6E18">
      <w:pPr>
        <w:rPr>
          <w:rFonts w:asciiTheme="majorHAnsi" w:hAnsiTheme="majorHAnsi"/>
          <w:b/>
          <w:sz w:val="28"/>
        </w:rPr>
      </w:pPr>
      <w:r w:rsidRPr="001063E5">
        <w:rPr>
          <w:rFonts w:asciiTheme="majorHAnsi" w:hAnsiTheme="majorHAnsi"/>
          <w:b/>
          <w:sz w:val="28"/>
        </w:rPr>
        <w:t>Clinical Chemistry</w:t>
      </w:r>
    </w:p>
    <w:p w14:paraId="770DAD88" w14:textId="77777777" w:rsidR="00E44C46" w:rsidRPr="00E44C46" w:rsidRDefault="00E44C46" w:rsidP="00E44C46">
      <w:pPr>
        <w:rPr>
          <w:bCs/>
        </w:rPr>
      </w:pPr>
      <w:r w:rsidRPr="00E44C46">
        <w:rPr>
          <w:bCs/>
        </w:rPr>
        <w:t>Critically evaluate the use of ‘tumour markers’ in the investigation of patients with cancers. Which ‘tumour’ marker do you consider to be the most effective?</w:t>
      </w:r>
    </w:p>
    <w:p w14:paraId="62C72541" w14:textId="77777777" w:rsidR="00E44C46" w:rsidRDefault="00E44C46" w:rsidP="00E44C46"/>
    <w:p w14:paraId="0CED095B" w14:textId="77777777" w:rsidR="00E44C46" w:rsidRPr="00E44C46" w:rsidRDefault="00E44C46" w:rsidP="00E44C46">
      <w:pPr>
        <w:rPr>
          <w:b/>
          <w:bCs/>
        </w:rPr>
      </w:pPr>
      <w:r w:rsidRPr="00E44C46">
        <w:rPr>
          <w:b/>
          <w:bCs/>
        </w:rPr>
        <w:t>Key References</w:t>
      </w:r>
    </w:p>
    <w:p w14:paraId="7C8C9A42" w14:textId="2845D581" w:rsidR="00E44C46" w:rsidRDefault="00E44C46" w:rsidP="00E44C46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E44C46">
        <w:rPr>
          <w:sz w:val="22"/>
          <w:szCs w:val="22"/>
        </w:rPr>
        <w:t xml:space="preserve">The Association for Clinical Biochemistry and Laboratory Medicine (2013) </w:t>
      </w:r>
      <w:r w:rsidRPr="00E44C46">
        <w:rPr>
          <w:i/>
          <w:sz w:val="22"/>
          <w:szCs w:val="22"/>
        </w:rPr>
        <w:t xml:space="preserve">Recommendations as a Result of the ACB Audit on Tumour Marker Service Provision. </w:t>
      </w:r>
      <w:r w:rsidRPr="00E44C46">
        <w:rPr>
          <w:sz w:val="22"/>
          <w:szCs w:val="22"/>
        </w:rPr>
        <w:t>Available at</w:t>
      </w:r>
      <w:r w:rsidR="00A0230B">
        <w:rPr>
          <w:sz w:val="22"/>
          <w:szCs w:val="22"/>
        </w:rPr>
        <w:t>:</w:t>
      </w:r>
      <w:r w:rsidRPr="00E44C46">
        <w:rPr>
          <w:sz w:val="22"/>
          <w:szCs w:val="22"/>
        </w:rPr>
        <w:t xml:space="preserve"> </w:t>
      </w:r>
      <w:hyperlink r:id="rId9" w:history="1">
        <w:r w:rsidRPr="00E44C46">
          <w:rPr>
            <w:rStyle w:val="Hyperlink"/>
            <w:sz w:val="22"/>
            <w:szCs w:val="22"/>
          </w:rPr>
          <w:t>http://www.acb.org.uk/docs/default-source/guidelines/tumour-marker-guidelines.pdf?sfvrsn=4</w:t>
        </w:r>
      </w:hyperlink>
      <w:r w:rsidRPr="00E44C46">
        <w:rPr>
          <w:sz w:val="22"/>
          <w:szCs w:val="22"/>
        </w:rPr>
        <w:t xml:space="preserve"> </w:t>
      </w:r>
    </w:p>
    <w:p w14:paraId="3AA9B0EB" w14:textId="77777777" w:rsidR="00E44C46" w:rsidRPr="00E44C46" w:rsidRDefault="00E44C46" w:rsidP="00E44C46">
      <w:pPr>
        <w:pStyle w:val="ListParagraph"/>
        <w:ind w:left="360"/>
        <w:rPr>
          <w:sz w:val="22"/>
          <w:szCs w:val="22"/>
        </w:rPr>
      </w:pPr>
    </w:p>
    <w:p w14:paraId="42E355CF" w14:textId="669E2F7D" w:rsidR="00E44C46" w:rsidRPr="00E44C46" w:rsidRDefault="00E44C46" w:rsidP="00E44C46">
      <w:pPr>
        <w:pStyle w:val="ListParagraph"/>
        <w:numPr>
          <w:ilvl w:val="0"/>
          <w:numId w:val="43"/>
        </w:numPr>
        <w:ind w:left="357" w:hanging="357"/>
        <w:contextualSpacing w:val="0"/>
        <w:rPr>
          <w:sz w:val="22"/>
          <w:szCs w:val="22"/>
        </w:rPr>
      </w:pPr>
      <w:r w:rsidRPr="00E44C46">
        <w:rPr>
          <w:rFonts w:cs="Segoe UI"/>
          <w:color w:val="222222"/>
          <w:sz w:val="22"/>
          <w:szCs w:val="22"/>
          <w:shd w:val="clear" w:color="auto" w:fill="FFFFFF"/>
        </w:rPr>
        <w:t xml:space="preserve">Cristiano, S., Leal, A., </w:t>
      </w:r>
      <w:proofErr w:type="spellStart"/>
      <w:r w:rsidRPr="00E44C46">
        <w:rPr>
          <w:rFonts w:cs="Segoe UI"/>
          <w:color w:val="222222"/>
          <w:sz w:val="22"/>
          <w:szCs w:val="22"/>
          <w:shd w:val="clear" w:color="auto" w:fill="FFFFFF"/>
        </w:rPr>
        <w:t>Phallen</w:t>
      </w:r>
      <w:proofErr w:type="spellEnd"/>
      <w:r w:rsidRPr="00E44C46">
        <w:rPr>
          <w:rFonts w:cs="Segoe UI"/>
          <w:color w:val="222222"/>
          <w:sz w:val="22"/>
          <w:szCs w:val="22"/>
          <w:shd w:val="clear" w:color="auto" w:fill="FFFFFF"/>
        </w:rPr>
        <w:t>, J. </w:t>
      </w:r>
      <w:r w:rsidRPr="00E44C46">
        <w:rPr>
          <w:rFonts w:cs="Segoe UI"/>
          <w:i/>
          <w:iCs/>
          <w:color w:val="222222"/>
          <w:sz w:val="22"/>
          <w:szCs w:val="22"/>
          <w:shd w:val="clear" w:color="auto" w:fill="FFFFFF"/>
        </w:rPr>
        <w:t>et al.</w:t>
      </w:r>
      <w:r w:rsidRPr="00E44C46">
        <w:rPr>
          <w:rFonts w:cs="Segoe UI"/>
          <w:color w:val="222222"/>
          <w:sz w:val="22"/>
          <w:szCs w:val="22"/>
          <w:shd w:val="clear" w:color="auto" w:fill="FFFFFF"/>
        </w:rPr>
        <w:t xml:space="preserve"> (2019) </w:t>
      </w:r>
      <w:r w:rsidRPr="00E44C46">
        <w:rPr>
          <w:rFonts w:cs="Segoe UI"/>
          <w:i/>
          <w:color w:val="222222"/>
          <w:sz w:val="22"/>
          <w:szCs w:val="22"/>
          <w:shd w:val="clear" w:color="auto" w:fill="FFFFFF"/>
        </w:rPr>
        <w:t>Genome-wide cell-free DNA fragmentation in patients with cancer</w:t>
      </w:r>
      <w:r w:rsidRPr="00E44C46">
        <w:rPr>
          <w:rFonts w:cs="Segoe UI"/>
          <w:color w:val="222222"/>
          <w:sz w:val="22"/>
          <w:szCs w:val="22"/>
          <w:shd w:val="clear" w:color="auto" w:fill="FFFFFF"/>
        </w:rPr>
        <w:t>. </w:t>
      </w:r>
      <w:r w:rsidRPr="00E44C46">
        <w:rPr>
          <w:rFonts w:cs="Segoe UI"/>
          <w:iCs/>
          <w:color w:val="222222"/>
          <w:sz w:val="22"/>
          <w:szCs w:val="22"/>
          <w:shd w:val="clear" w:color="auto" w:fill="FFFFFF"/>
        </w:rPr>
        <w:t>Nature</w:t>
      </w:r>
      <w:r w:rsidRPr="00E44C46">
        <w:rPr>
          <w:rFonts w:cs="Segoe UI"/>
          <w:color w:val="222222"/>
          <w:sz w:val="22"/>
          <w:szCs w:val="22"/>
          <w:shd w:val="clear" w:color="auto" w:fill="FFFFFF"/>
        </w:rPr>
        <w:t> </w:t>
      </w:r>
      <w:r w:rsidRPr="00E44C46">
        <w:rPr>
          <w:rFonts w:cs="Segoe UI"/>
          <w:bCs/>
          <w:color w:val="222222"/>
          <w:sz w:val="22"/>
          <w:szCs w:val="22"/>
          <w:shd w:val="clear" w:color="auto" w:fill="FFFFFF"/>
        </w:rPr>
        <w:t>570</w:t>
      </w:r>
      <w:r w:rsidRPr="00E44C46">
        <w:rPr>
          <w:rFonts w:cs="Segoe UI"/>
          <w:b/>
          <w:bCs/>
          <w:color w:val="222222"/>
          <w:sz w:val="22"/>
          <w:szCs w:val="22"/>
          <w:shd w:val="clear" w:color="auto" w:fill="FFFFFF"/>
        </w:rPr>
        <w:t>, </w:t>
      </w:r>
      <w:r w:rsidRPr="00E44C46">
        <w:rPr>
          <w:rFonts w:cs="Segoe UI"/>
          <w:color w:val="222222"/>
          <w:sz w:val="22"/>
          <w:szCs w:val="22"/>
          <w:shd w:val="clear" w:color="auto" w:fill="FFFFFF"/>
        </w:rPr>
        <w:t>385–389</w:t>
      </w:r>
    </w:p>
    <w:p w14:paraId="5D90C459" w14:textId="77777777" w:rsidR="00E44C46" w:rsidRPr="00E44C46" w:rsidRDefault="00E44C46" w:rsidP="00E44C46">
      <w:pPr>
        <w:rPr>
          <w:sz w:val="22"/>
          <w:szCs w:val="22"/>
        </w:rPr>
      </w:pPr>
    </w:p>
    <w:p w14:paraId="5498C85F" w14:textId="7EB008D1" w:rsidR="00E44C46" w:rsidRDefault="00E44C46" w:rsidP="00E44C46">
      <w:pPr>
        <w:pStyle w:val="ListParagraph"/>
        <w:numPr>
          <w:ilvl w:val="0"/>
          <w:numId w:val="43"/>
        </w:numPr>
        <w:ind w:left="357" w:hanging="357"/>
        <w:rPr>
          <w:sz w:val="22"/>
          <w:szCs w:val="22"/>
        </w:rPr>
      </w:pPr>
      <w:r w:rsidRPr="00E44C46">
        <w:rPr>
          <w:sz w:val="22"/>
          <w:szCs w:val="22"/>
        </w:rPr>
        <w:t xml:space="preserve">National Academy of Clinical Biochemistry (2009) </w:t>
      </w:r>
      <w:r w:rsidRPr="00E44C46">
        <w:rPr>
          <w:i/>
          <w:sz w:val="22"/>
          <w:szCs w:val="22"/>
        </w:rPr>
        <w:t xml:space="preserve">Use of </w:t>
      </w:r>
      <w:proofErr w:type="spellStart"/>
      <w:r w:rsidRPr="00E44C46">
        <w:rPr>
          <w:i/>
          <w:sz w:val="22"/>
          <w:szCs w:val="22"/>
        </w:rPr>
        <w:t>Tumor</w:t>
      </w:r>
      <w:proofErr w:type="spellEnd"/>
      <w:r w:rsidRPr="00E44C46">
        <w:rPr>
          <w:i/>
          <w:sz w:val="22"/>
          <w:szCs w:val="22"/>
        </w:rPr>
        <w:t xml:space="preserve"> Markers in Clinical Practice: Quality Requirements. </w:t>
      </w:r>
      <w:r w:rsidRPr="00E44C46">
        <w:rPr>
          <w:sz w:val="22"/>
          <w:szCs w:val="22"/>
        </w:rPr>
        <w:t xml:space="preserve">Available at </w:t>
      </w:r>
      <w:hyperlink r:id="rId10" w:history="1">
        <w:r w:rsidRPr="00E44C46">
          <w:rPr>
            <w:rStyle w:val="Hyperlink"/>
            <w:sz w:val="22"/>
            <w:szCs w:val="22"/>
          </w:rPr>
          <w:t>https://www.aacc.org/-/media/Files/Science-and-Practice/Practice-Guidelines/Tumor-Markers-Quality-Requirements/TumorMarkers_QualityRequirements09.pdf?la=en&amp;hash=ABC1D9C9914407CC35914F344EABCFE7DEAE311D</w:t>
        </w:r>
      </w:hyperlink>
      <w:r w:rsidRPr="00E44C46">
        <w:rPr>
          <w:sz w:val="22"/>
          <w:szCs w:val="22"/>
        </w:rPr>
        <w:t xml:space="preserve"> </w:t>
      </w:r>
    </w:p>
    <w:p w14:paraId="424F32DC" w14:textId="77777777" w:rsidR="00E44C46" w:rsidRPr="00E44C46" w:rsidRDefault="00E44C46" w:rsidP="00E44C46">
      <w:pPr>
        <w:pStyle w:val="ListParagraph"/>
        <w:ind w:left="357"/>
        <w:rPr>
          <w:sz w:val="22"/>
          <w:szCs w:val="22"/>
        </w:rPr>
      </w:pPr>
    </w:p>
    <w:p w14:paraId="044BD9B4" w14:textId="1A1C82E4" w:rsidR="00E44C46" w:rsidRPr="00E44C46" w:rsidRDefault="00E44C46" w:rsidP="00E44C46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E44C46">
        <w:rPr>
          <w:sz w:val="22"/>
          <w:szCs w:val="22"/>
        </w:rPr>
        <w:t xml:space="preserve">National Cancer Institute (2019) </w:t>
      </w:r>
      <w:proofErr w:type="spellStart"/>
      <w:r w:rsidRPr="00E44C46">
        <w:rPr>
          <w:i/>
          <w:sz w:val="22"/>
          <w:szCs w:val="22"/>
        </w:rPr>
        <w:t>Tumor</w:t>
      </w:r>
      <w:proofErr w:type="spellEnd"/>
      <w:r w:rsidRPr="00E44C46">
        <w:rPr>
          <w:i/>
          <w:sz w:val="22"/>
          <w:szCs w:val="22"/>
        </w:rPr>
        <w:t xml:space="preserve"> Markers in Common Use. </w:t>
      </w:r>
      <w:r w:rsidRPr="00E44C46">
        <w:rPr>
          <w:sz w:val="22"/>
          <w:szCs w:val="22"/>
        </w:rPr>
        <w:t>Available at</w:t>
      </w:r>
      <w:r w:rsidR="00A0230B">
        <w:rPr>
          <w:sz w:val="22"/>
          <w:szCs w:val="22"/>
        </w:rPr>
        <w:t>:</w:t>
      </w:r>
      <w:r w:rsidRPr="00E44C46">
        <w:rPr>
          <w:sz w:val="22"/>
          <w:szCs w:val="22"/>
        </w:rPr>
        <w:t xml:space="preserve"> </w:t>
      </w:r>
      <w:hyperlink r:id="rId11" w:history="1">
        <w:r w:rsidRPr="00E44C46">
          <w:rPr>
            <w:rStyle w:val="Hyperlink"/>
            <w:sz w:val="22"/>
            <w:szCs w:val="22"/>
          </w:rPr>
          <w:t>https://www.cancer.gov/about-cancer/diagnosis-staging/diagnosis/tumor-markers-list</w:t>
        </w:r>
      </w:hyperlink>
      <w:r w:rsidRPr="00E44C46">
        <w:rPr>
          <w:sz w:val="22"/>
          <w:szCs w:val="22"/>
        </w:rPr>
        <w:t xml:space="preserve"> </w:t>
      </w:r>
    </w:p>
    <w:p w14:paraId="6431EEB9" w14:textId="74E592A5" w:rsidR="00E44C46" w:rsidRDefault="00E44C46" w:rsidP="00E44C46">
      <w:pPr>
        <w:rPr>
          <w:b/>
        </w:rPr>
      </w:pPr>
    </w:p>
    <w:p w14:paraId="2637B28A" w14:textId="77777777" w:rsidR="00B355F5" w:rsidRDefault="00B355F5" w:rsidP="00E44C46">
      <w:pPr>
        <w:rPr>
          <w:b/>
        </w:rPr>
      </w:pPr>
    </w:p>
    <w:p w14:paraId="0ABCE744" w14:textId="5C487EB6" w:rsidR="00E44C46" w:rsidRPr="00B355F5" w:rsidRDefault="00E44C46" w:rsidP="00E44C46">
      <w:pPr>
        <w:rPr>
          <w:bCs/>
        </w:rPr>
      </w:pPr>
      <w:r w:rsidRPr="00B355F5">
        <w:rPr>
          <w:bCs/>
        </w:rPr>
        <w:t>Critically evaluate the impact of pre-analytical variables on biochemistry results.</w:t>
      </w:r>
    </w:p>
    <w:p w14:paraId="0C00D986" w14:textId="77777777" w:rsidR="00E44C46" w:rsidRPr="00813503" w:rsidRDefault="00E44C46" w:rsidP="00E44C46">
      <w:pPr>
        <w:rPr>
          <w:b/>
          <w:bCs/>
        </w:rPr>
      </w:pPr>
      <w:r w:rsidRPr="00813503">
        <w:rPr>
          <w:b/>
          <w:bCs/>
        </w:rPr>
        <w:t>Key References</w:t>
      </w:r>
    </w:p>
    <w:p w14:paraId="17A5978A" w14:textId="4BAA254A" w:rsidR="00E44C46" w:rsidRDefault="00E44C46" w:rsidP="00E44C46">
      <w:pPr>
        <w:pStyle w:val="NormalWeb"/>
        <w:numPr>
          <w:ilvl w:val="0"/>
          <w:numId w:val="44"/>
        </w:numPr>
        <w:ind w:left="357" w:hanging="357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E44C46">
        <w:rPr>
          <w:rFonts w:asciiTheme="majorHAnsi" w:hAnsiTheme="majorHAnsi"/>
          <w:color w:val="000000"/>
          <w:sz w:val="22"/>
          <w:szCs w:val="22"/>
        </w:rPr>
        <w:t>Krintus</w:t>
      </w:r>
      <w:proofErr w:type="spellEnd"/>
      <w:r w:rsidRPr="00E44C46">
        <w:rPr>
          <w:rFonts w:asciiTheme="majorHAnsi" w:hAnsiTheme="majorHAnsi"/>
          <w:color w:val="000000"/>
          <w:sz w:val="22"/>
          <w:szCs w:val="22"/>
        </w:rPr>
        <w:t xml:space="preserve">, M., </w:t>
      </w:r>
      <w:proofErr w:type="spellStart"/>
      <w:r w:rsidRPr="00E44C46">
        <w:rPr>
          <w:rFonts w:asciiTheme="majorHAnsi" w:hAnsiTheme="majorHAnsi"/>
          <w:color w:val="000000"/>
          <w:sz w:val="22"/>
          <w:szCs w:val="22"/>
        </w:rPr>
        <w:t>Plebani</w:t>
      </w:r>
      <w:proofErr w:type="spellEnd"/>
      <w:r w:rsidRPr="00E44C46">
        <w:rPr>
          <w:rFonts w:asciiTheme="majorHAnsi" w:hAnsiTheme="majorHAnsi"/>
          <w:color w:val="000000"/>
          <w:sz w:val="22"/>
          <w:szCs w:val="22"/>
        </w:rPr>
        <w:t xml:space="preserve">, M. and </w:t>
      </w:r>
      <w:proofErr w:type="spellStart"/>
      <w:r w:rsidRPr="00E44C46">
        <w:rPr>
          <w:rFonts w:asciiTheme="majorHAnsi" w:hAnsiTheme="majorHAnsi"/>
          <w:color w:val="000000"/>
          <w:sz w:val="22"/>
          <w:szCs w:val="22"/>
        </w:rPr>
        <w:t>Panteghini</w:t>
      </w:r>
      <w:proofErr w:type="spellEnd"/>
      <w:r w:rsidRPr="00E44C46">
        <w:rPr>
          <w:rFonts w:asciiTheme="majorHAnsi" w:hAnsiTheme="majorHAnsi"/>
          <w:color w:val="000000"/>
          <w:sz w:val="22"/>
          <w:szCs w:val="22"/>
        </w:rPr>
        <w:t xml:space="preserve">, M. (2017) </w:t>
      </w:r>
      <w:r w:rsidRPr="00E44C46">
        <w:rPr>
          <w:rFonts w:asciiTheme="majorHAnsi" w:hAnsiTheme="majorHAnsi"/>
          <w:i/>
          <w:color w:val="000000"/>
          <w:sz w:val="22"/>
          <w:szCs w:val="22"/>
        </w:rPr>
        <w:t>Improving clinical laboratory performance through quality indicators</w:t>
      </w:r>
      <w:r w:rsidRPr="00E44C46">
        <w:rPr>
          <w:rFonts w:asciiTheme="majorHAnsi" w:hAnsiTheme="majorHAnsi"/>
          <w:color w:val="000000"/>
          <w:sz w:val="22"/>
          <w:szCs w:val="22"/>
        </w:rPr>
        <w:t xml:space="preserve">. </w:t>
      </w:r>
      <w:r w:rsidRPr="00E44C46">
        <w:rPr>
          <w:rFonts w:asciiTheme="majorHAnsi" w:hAnsiTheme="majorHAnsi"/>
          <w:iCs/>
          <w:color w:val="000000"/>
          <w:sz w:val="22"/>
          <w:szCs w:val="22"/>
        </w:rPr>
        <w:t>Clinical Biochemistry</w:t>
      </w:r>
      <w:r w:rsidRPr="00E44C46">
        <w:rPr>
          <w:rFonts w:asciiTheme="majorHAnsi" w:hAnsiTheme="majorHAnsi"/>
          <w:i/>
          <w:iCs/>
          <w:color w:val="000000"/>
          <w:sz w:val="22"/>
          <w:szCs w:val="22"/>
        </w:rPr>
        <w:t>, </w:t>
      </w:r>
      <w:r w:rsidRPr="00E44C46">
        <w:rPr>
          <w:rFonts w:asciiTheme="majorHAnsi" w:hAnsiTheme="majorHAnsi"/>
          <w:color w:val="000000"/>
          <w:sz w:val="22"/>
          <w:szCs w:val="22"/>
        </w:rPr>
        <w:t>50(10), pp. 547-549.</w:t>
      </w:r>
    </w:p>
    <w:p w14:paraId="5965525C" w14:textId="77777777" w:rsidR="00E44C46" w:rsidRPr="00E44C46" w:rsidRDefault="00E44C46" w:rsidP="00E44C46">
      <w:pPr>
        <w:pStyle w:val="NormalWeb"/>
        <w:ind w:left="357"/>
        <w:rPr>
          <w:rFonts w:asciiTheme="majorHAnsi" w:hAnsiTheme="majorHAnsi"/>
          <w:color w:val="000000"/>
          <w:sz w:val="22"/>
          <w:szCs w:val="22"/>
        </w:rPr>
      </w:pPr>
    </w:p>
    <w:p w14:paraId="46B342E7" w14:textId="77777777" w:rsidR="00E44C46" w:rsidRPr="00E44C46" w:rsidRDefault="00E44C46" w:rsidP="00E44C46">
      <w:pPr>
        <w:pStyle w:val="NormalWeb"/>
        <w:numPr>
          <w:ilvl w:val="0"/>
          <w:numId w:val="44"/>
        </w:numPr>
        <w:ind w:left="357" w:hanging="357"/>
        <w:rPr>
          <w:rFonts w:asciiTheme="majorHAnsi" w:hAnsiTheme="majorHAnsi"/>
          <w:color w:val="000000"/>
          <w:sz w:val="22"/>
          <w:szCs w:val="22"/>
        </w:rPr>
      </w:pPr>
      <w:r w:rsidRPr="00E44C46">
        <w:rPr>
          <w:rFonts w:asciiTheme="majorHAnsi" w:hAnsiTheme="majorHAnsi"/>
          <w:color w:val="000000"/>
          <w:sz w:val="22"/>
          <w:szCs w:val="22"/>
        </w:rPr>
        <w:lastRenderedPageBreak/>
        <w:t>Laura, S.</w:t>
      </w:r>
      <w:r w:rsidRPr="00E44C46">
        <w:rPr>
          <w:rFonts w:asciiTheme="majorHAnsi" w:hAnsiTheme="majorHAnsi"/>
          <w:i/>
          <w:iCs/>
          <w:color w:val="000000"/>
          <w:sz w:val="22"/>
          <w:szCs w:val="22"/>
        </w:rPr>
        <w:t> et al. </w:t>
      </w:r>
      <w:r w:rsidRPr="00E44C46">
        <w:rPr>
          <w:rFonts w:asciiTheme="majorHAnsi" w:hAnsiTheme="majorHAnsi"/>
          <w:color w:val="000000"/>
          <w:sz w:val="22"/>
          <w:szCs w:val="22"/>
        </w:rPr>
        <w:t xml:space="preserve">(2017) </w:t>
      </w:r>
      <w:r w:rsidRPr="00E44C46">
        <w:rPr>
          <w:rFonts w:asciiTheme="majorHAnsi" w:hAnsiTheme="majorHAnsi"/>
          <w:i/>
          <w:color w:val="000000"/>
          <w:sz w:val="22"/>
          <w:szCs w:val="22"/>
        </w:rPr>
        <w:t xml:space="preserve">Defining a roadmap for harmonizing quality indicators in Laboratory Medicine: a consensus statement on behalf of the IFCC Working Group “Laboratory Error and Patient Safety” and EFLM Task and Finish Group </w:t>
      </w:r>
      <w:r w:rsidRPr="00E44C46">
        <w:rPr>
          <w:rFonts w:asciiTheme="majorHAnsi" w:hAnsiTheme="majorHAnsi" w:cs="Verdana"/>
          <w:i/>
          <w:color w:val="000000"/>
          <w:sz w:val="22"/>
          <w:szCs w:val="22"/>
        </w:rPr>
        <w:t>“</w:t>
      </w:r>
      <w:r w:rsidRPr="00E44C46">
        <w:rPr>
          <w:rFonts w:asciiTheme="majorHAnsi" w:hAnsiTheme="majorHAnsi"/>
          <w:i/>
          <w:color w:val="000000"/>
          <w:sz w:val="22"/>
          <w:szCs w:val="22"/>
        </w:rPr>
        <w:t>Performance specifications for the extra-analytical phases”</w:t>
      </w:r>
      <w:r w:rsidRPr="00E44C46">
        <w:rPr>
          <w:rFonts w:asciiTheme="majorHAnsi" w:hAnsiTheme="majorHAnsi"/>
          <w:color w:val="000000"/>
          <w:sz w:val="22"/>
          <w:szCs w:val="22"/>
        </w:rPr>
        <w:t>.</w:t>
      </w:r>
      <w:r w:rsidRPr="00E44C46">
        <w:rPr>
          <w:rFonts w:asciiTheme="majorHAnsi" w:hAnsiTheme="majorHAnsi" w:cs="Verdana"/>
          <w:color w:val="000000"/>
          <w:sz w:val="22"/>
          <w:szCs w:val="22"/>
        </w:rPr>
        <w:t> </w:t>
      </w:r>
      <w:r w:rsidRPr="00E44C46">
        <w:rPr>
          <w:rFonts w:asciiTheme="majorHAnsi" w:hAnsiTheme="majorHAnsi"/>
          <w:iCs/>
          <w:sz w:val="22"/>
          <w:szCs w:val="22"/>
        </w:rPr>
        <w:t>Clinical Chemistry and Laboratory Medicine (CCLM),</w:t>
      </w:r>
      <w:r w:rsidRPr="00E44C46">
        <w:rPr>
          <w:rFonts w:asciiTheme="majorHAnsi" w:hAnsiTheme="majorHAnsi"/>
          <w:i/>
          <w:iCs/>
          <w:sz w:val="22"/>
          <w:szCs w:val="22"/>
        </w:rPr>
        <w:t> </w:t>
      </w:r>
      <w:r w:rsidRPr="00E44C46">
        <w:rPr>
          <w:rFonts w:asciiTheme="majorHAnsi" w:hAnsiTheme="majorHAnsi"/>
          <w:color w:val="000000"/>
          <w:sz w:val="22"/>
          <w:szCs w:val="22"/>
        </w:rPr>
        <w:t>55(10) pp. 1478-1488.</w:t>
      </w:r>
    </w:p>
    <w:p w14:paraId="161FA05A" w14:textId="77777777" w:rsidR="00B241A4" w:rsidRDefault="00B241A4" w:rsidP="00DC6E18"/>
    <w:p w14:paraId="5A661449" w14:textId="77777777" w:rsidR="00A34F5A" w:rsidRPr="00A34F5A" w:rsidRDefault="00A34F5A">
      <w:pPr>
        <w:rPr>
          <w:rFonts w:asciiTheme="majorHAnsi" w:hAnsiTheme="majorHAnsi"/>
          <w:b/>
        </w:rPr>
      </w:pPr>
    </w:p>
    <w:p w14:paraId="192518B4" w14:textId="77777777" w:rsidR="000B7BC5" w:rsidRPr="00B241A4" w:rsidRDefault="00882872" w:rsidP="00B241A4">
      <w:pPr>
        <w:rPr>
          <w:rFonts w:asciiTheme="majorHAnsi" w:hAnsiTheme="majorHAnsi"/>
          <w:b/>
          <w:sz w:val="28"/>
        </w:rPr>
      </w:pPr>
      <w:r w:rsidRPr="003B7D33">
        <w:rPr>
          <w:rFonts w:asciiTheme="majorHAnsi" w:hAnsiTheme="majorHAnsi"/>
          <w:b/>
          <w:sz w:val="28"/>
        </w:rPr>
        <w:t>Cytopathology</w:t>
      </w:r>
    </w:p>
    <w:p w14:paraId="161CD746" w14:textId="77777777" w:rsidR="00E4576F" w:rsidRDefault="00E4576F" w:rsidP="00E4576F">
      <w:pPr>
        <w:rPr>
          <w:rFonts w:asciiTheme="majorHAnsi" w:hAnsiTheme="majorHAnsi"/>
        </w:rPr>
      </w:pPr>
      <w:r>
        <w:rPr>
          <w:rFonts w:asciiTheme="majorHAnsi" w:hAnsiTheme="majorHAnsi"/>
        </w:rPr>
        <w:t>Discuss the process that can be used to check and monitor the quality of Non-Gynaecological Cytology work.</w:t>
      </w:r>
    </w:p>
    <w:p w14:paraId="6B7B67B4" w14:textId="52D6342D" w:rsidR="00E4576F" w:rsidRDefault="00E4576F" w:rsidP="00E4576F">
      <w:pPr>
        <w:rPr>
          <w:rFonts w:asciiTheme="majorHAnsi" w:hAnsiTheme="majorHAnsi"/>
        </w:rPr>
      </w:pPr>
    </w:p>
    <w:p w14:paraId="7E9C89E5" w14:textId="77777777" w:rsidR="00A0230B" w:rsidRDefault="00A0230B" w:rsidP="00E4576F">
      <w:pPr>
        <w:rPr>
          <w:rFonts w:asciiTheme="majorHAnsi" w:hAnsiTheme="majorHAnsi"/>
        </w:rPr>
      </w:pPr>
    </w:p>
    <w:p w14:paraId="784644F8" w14:textId="77777777" w:rsidR="00E4576F" w:rsidRDefault="00E4576F" w:rsidP="00E4576F">
      <w:pPr>
        <w:jc w:val="both"/>
        <w:rPr>
          <w:bCs/>
        </w:rPr>
      </w:pPr>
      <w:r w:rsidRPr="00FA756B">
        <w:rPr>
          <w:bCs/>
        </w:rPr>
        <w:t>Discuss cervical scree</w:t>
      </w:r>
      <w:r>
        <w:rPr>
          <w:bCs/>
        </w:rPr>
        <w:t>ning in a vaccinated population.</w:t>
      </w:r>
    </w:p>
    <w:p w14:paraId="3C9024BB" w14:textId="77777777" w:rsidR="00882872" w:rsidRDefault="00882872">
      <w:pPr>
        <w:rPr>
          <w:rFonts w:asciiTheme="majorHAnsi" w:hAnsiTheme="majorHAnsi"/>
        </w:rPr>
      </w:pPr>
    </w:p>
    <w:p w14:paraId="00DDE145" w14:textId="77777777" w:rsidR="000B7BC5" w:rsidRDefault="000B7BC5" w:rsidP="00882872">
      <w:pPr>
        <w:rPr>
          <w:rFonts w:asciiTheme="majorHAnsi" w:hAnsiTheme="majorHAnsi"/>
        </w:rPr>
      </w:pPr>
    </w:p>
    <w:p w14:paraId="5B17C48B" w14:textId="77777777" w:rsidR="000B7BC5" w:rsidRDefault="000B7BC5" w:rsidP="00882872">
      <w:pPr>
        <w:rPr>
          <w:rFonts w:asciiTheme="majorHAnsi" w:hAnsiTheme="majorHAnsi"/>
        </w:rPr>
      </w:pPr>
    </w:p>
    <w:p w14:paraId="736A6E49" w14:textId="3AB2559F" w:rsidR="003118F0" w:rsidRPr="00B355F5" w:rsidRDefault="00B94DF9" w:rsidP="00DC6E18">
      <w:pPr>
        <w:rPr>
          <w:rFonts w:asciiTheme="majorHAnsi" w:hAnsiTheme="majorHAnsi" w:cs="Times New Roman"/>
          <w:b/>
          <w:iCs/>
          <w:sz w:val="28"/>
        </w:rPr>
      </w:pPr>
      <w:r w:rsidRPr="001063E5">
        <w:rPr>
          <w:rFonts w:asciiTheme="majorHAnsi" w:hAnsiTheme="majorHAnsi" w:cs="Times New Roman"/>
          <w:b/>
          <w:iCs/>
          <w:sz w:val="28"/>
        </w:rPr>
        <w:t>Haematology</w:t>
      </w:r>
    </w:p>
    <w:p w14:paraId="4D0C8CE5" w14:textId="5515D137" w:rsidR="003118F0" w:rsidRDefault="003118F0" w:rsidP="003118F0">
      <w:r>
        <w:t>Relate the pathogenesis of shortened red cell survival to the principles of laboratory methods for detection and diagnosis of its causative disorders.</w:t>
      </w:r>
    </w:p>
    <w:p w14:paraId="41081DFF" w14:textId="6F739281" w:rsidR="003118F0" w:rsidRDefault="003118F0" w:rsidP="003118F0"/>
    <w:p w14:paraId="3FC85B05" w14:textId="77777777" w:rsidR="003118F0" w:rsidRPr="003118F0" w:rsidRDefault="003118F0" w:rsidP="003118F0">
      <w:pPr>
        <w:rPr>
          <w:rFonts w:cs="Times New Roman"/>
        </w:rPr>
      </w:pPr>
    </w:p>
    <w:p w14:paraId="75861EB4" w14:textId="556EF767" w:rsidR="003118F0" w:rsidRDefault="003118F0" w:rsidP="003118F0">
      <w:r>
        <w:t>Critically discuss the effects of pre-analytical variables on laboratory tests in haematology and the evaluate options for mitigating any such effects.</w:t>
      </w:r>
    </w:p>
    <w:p w14:paraId="3CA26892" w14:textId="668B95A4" w:rsidR="000B7BC5" w:rsidRDefault="000B7BC5" w:rsidP="00DC6E18">
      <w:pPr>
        <w:rPr>
          <w:rFonts w:asciiTheme="majorHAnsi" w:hAnsiTheme="majorHAnsi" w:cs="Times New Roman"/>
          <w:b/>
          <w:iCs/>
        </w:rPr>
      </w:pPr>
    </w:p>
    <w:p w14:paraId="13F8AF77" w14:textId="77777777" w:rsidR="00B355F5" w:rsidRDefault="00B355F5" w:rsidP="00DC6E18">
      <w:pPr>
        <w:rPr>
          <w:rFonts w:asciiTheme="majorHAnsi" w:hAnsiTheme="majorHAnsi" w:cs="Times New Roman"/>
          <w:b/>
          <w:iCs/>
          <w:sz w:val="28"/>
        </w:rPr>
      </w:pPr>
    </w:p>
    <w:p w14:paraId="3D927A90" w14:textId="77777777" w:rsidR="000B7BC5" w:rsidRPr="00B241A4" w:rsidRDefault="00B94DF9" w:rsidP="00DC6E18">
      <w:pPr>
        <w:rPr>
          <w:rFonts w:asciiTheme="majorHAnsi" w:hAnsiTheme="majorHAnsi" w:cs="Times New Roman"/>
          <w:b/>
          <w:iCs/>
          <w:sz w:val="28"/>
        </w:rPr>
      </w:pPr>
      <w:r w:rsidRPr="003B7D33">
        <w:rPr>
          <w:rFonts w:asciiTheme="majorHAnsi" w:hAnsiTheme="majorHAnsi" w:cs="Times New Roman"/>
          <w:b/>
          <w:iCs/>
          <w:sz w:val="28"/>
        </w:rPr>
        <w:t>Immunology</w:t>
      </w:r>
    </w:p>
    <w:p w14:paraId="5C7C4D6E" w14:textId="6BB1895B" w:rsidR="000B7BC5" w:rsidRPr="00841EC0" w:rsidRDefault="00841EC0" w:rsidP="00973012">
      <w:pPr>
        <w:rPr>
          <w:rFonts w:asciiTheme="majorHAnsi" w:hAnsiTheme="majorHAnsi"/>
          <w:bCs/>
          <w:szCs w:val="22"/>
        </w:rPr>
      </w:pPr>
      <w:r w:rsidRPr="00841EC0">
        <w:rPr>
          <w:rFonts w:asciiTheme="majorHAnsi" w:hAnsiTheme="majorHAnsi"/>
          <w:bCs/>
          <w:szCs w:val="22"/>
        </w:rPr>
        <w:t xml:space="preserve">Discuss the challenges surrounding the measurement of </w:t>
      </w:r>
      <w:proofErr w:type="spellStart"/>
      <w:r w:rsidRPr="00841EC0">
        <w:rPr>
          <w:rFonts w:asciiTheme="majorHAnsi" w:hAnsiTheme="majorHAnsi"/>
          <w:bCs/>
          <w:szCs w:val="22"/>
        </w:rPr>
        <w:t>cryoproteins</w:t>
      </w:r>
      <w:proofErr w:type="spellEnd"/>
      <w:r w:rsidRPr="00841EC0">
        <w:rPr>
          <w:rFonts w:asciiTheme="majorHAnsi" w:hAnsiTheme="majorHAnsi"/>
          <w:bCs/>
          <w:szCs w:val="22"/>
        </w:rPr>
        <w:t xml:space="preserve"> in the diagnostic laboratory.</w:t>
      </w:r>
    </w:p>
    <w:p w14:paraId="14EF45CC" w14:textId="07615D85" w:rsidR="00841EC0" w:rsidRDefault="00841EC0" w:rsidP="00973012">
      <w:pPr>
        <w:rPr>
          <w:rFonts w:asciiTheme="majorHAnsi" w:hAnsiTheme="majorHAnsi"/>
          <w:bCs/>
          <w:szCs w:val="22"/>
        </w:rPr>
      </w:pPr>
    </w:p>
    <w:p w14:paraId="3D4D604D" w14:textId="77777777" w:rsidR="00A0230B" w:rsidRPr="00841EC0" w:rsidRDefault="00A0230B" w:rsidP="00973012">
      <w:pPr>
        <w:rPr>
          <w:rFonts w:asciiTheme="majorHAnsi" w:hAnsiTheme="majorHAnsi"/>
          <w:bCs/>
          <w:szCs w:val="22"/>
        </w:rPr>
      </w:pPr>
    </w:p>
    <w:p w14:paraId="78407AA4" w14:textId="162EBCAE" w:rsidR="00841EC0" w:rsidRPr="00841EC0" w:rsidRDefault="00841EC0" w:rsidP="00973012">
      <w:pPr>
        <w:rPr>
          <w:rFonts w:asciiTheme="majorHAnsi" w:hAnsiTheme="majorHAnsi"/>
          <w:bCs/>
          <w:szCs w:val="22"/>
        </w:rPr>
      </w:pPr>
      <w:r w:rsidRPr="00841EC0">
        <w:rPr>
          <w:rFonts w:asciiTheme="majorHAnsi" w:hAnsiTheme="majorHAnsi"/>
          <w:bCs/>
          <w:szCs w:val="22"/>
        </w:rPr>
        <w:t>Discuss current advances in the diagnosis and monitoring of lupus.</w:t>
      </w:r>
    </w:p>
    <w:p w14:paraId="27B358B1" w14:textId="77777777" w:rsidR="000B7BC5" w:rsidRDefault="000B7BC5" w:rsidP="00973012">
      <w:pPr>
        <w:rPr>
          <w:rFonts w:asciiTheme="majorHAnsi" w:hAnsiTheme="majorHAnsi"/>
          <w:b/>
          <w:sz w:val="28"/>
        </w:rPr>
      </w:pPr>
    </w:p>
    <w:p w14:paraId="265E4F13" w14:textId="77777777" w:rsidR="00B241A4" w:rsidRDefault="00B241A4" w:rsidP="00973012">
      <w:pPr>
        <w:rPr>
          <w:rFonts w:asciiTheme="majorHAnsi" w:hAnsiTheme="majorHAnsi"/>
          <w:b/>
          <w:sz w:val="28"/>
        </w:rPr>
      </w:pPr>
    </w:p>
    <w:p w14:paraId="0B0C5E67" w14:textId="77777777" w:rsidR="000B7BC5" w:rsidRPr="00B241A4" w:rsidRDefault="000C3A09" w:rsidP="00B241A4">
      <w:pPr>
        <w:rPr>
          <w:rFonts w:asciiTheme="majorHAnsi" w:hAnsiTheme="majorHAnsi"/>
          <w:b/>
          <w:sz w:val="28"/>
        </w:rPr>
      </w:pPr>
      <w:r w:rsidRPr="001063E5">
        <w:rPr>
          <w:rFonts w:asciiTheme="majorHAnsi" w:hAnsiTheme="majorHAnsi"/>
          <w:b/>
          <w:sz w:val="28"/>
        </w:rPr>
        <w:t>Leadership and Management</w:t>
      </w:r>
    </w:p>
    <w:p w14:paraId="6ABA6D55" w14:textId="77777777" w:rsidR="00B355F5" w:rsidRDefault="00B355F5" w:rsidP="00B355F5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Peter Drucker stated that “management is doing things right and leadership is doing the right thing”. Respond to this statement in the context of a laboratory setting using examples and critically discuss potential positive and negative impacts of doing things right or doing the right thing.</w:t>
      </w:r>
    </w:p>
    <w:p w14:paraId="0D014DEB" w14:textId="56631771" w:rsidR="00B355F5" w:rsidRDefault="00B355F5" w:rsidP="00B355F5">
      <w:pPr>
        <w:pStyle w:val="NoSpacing"/>
        <w:rPr>
          <w:rFonts w:asciiTheme="majorHAnsi" w:hAnsiTheme="majorHAnsi" w:cs="Times New Roman"/>
        </w:rPr>
      </w:pPr>
    </w:p>
    <w:p w14:paraId="328730A1" w14:textId="77777777" w:rsidR="00A0230B" w:rsidRDefault="00A0230B" w:rsidP="00B355F5">
      <w:pPr>
        <w:pStyle w:val="NoSpacing"/>
        <w:rPr>
          <w:rFonts w:asciiTheme="majorHAnsi" w:hAnsiTheme="majorHAnsi" w:cs="Times New Roman"/>
        </w:rPr>
      </w:pPr>
    </w:p>
    <w:p w14:paraId="0616E367" w14:textId="77777777" w:rsidR="00B355F5" w:rsidRDefault="00B355F5" w:rsidP="00B355F5">
      <w:pPr>
        <w:pStyle w:val="NoSpacing"/>
        <w:rPr>
          <w:rFonts w:asciiTheme="majorHAnsi" w:hAnsiTheme="majorHAnsi" w:cs="Times New Roman"/>
        </w:rPr>
      </w:pPr>
      <w:r>
        <w:rPr>
          <w:rFonts w:asciiTheme="majorHAnsi" w:hAnsiTheme="majorHAnsi"/>
        </w:rPr>
        <w:t>Staff empowerment is increasingly seen as a critical management tool. Discuss what you feel are the implications for a departmental manager in an organisation which champions this concept</w:t>
      </w:r>
      <w:r>
        <w:rPr>
          <w:rFonts w:asciiTheme="majorHAnsi" w:hAnsiTheme="majorHAnsi" w:cs="Times New Roman"/>
        </w:rPr>
        <w:t>.</w:t>
      </w:r>
    </w:p>
    <w:p w14:paraId="7F933E85" w14:textId="77777777" w:rsidR="0089288C" w:rsidRDefault="0089288C">
      <w:pPr>
        <w:rPr>
          <w:rFonts w:asciiTheme="majorHAnsi" w:hAnsiTheme="majorHAnsi"/>
          <w:b/>
        </w:rPr>
      </w:pPr>
    </w:p>
    <w:p w14:paraId="4ED27AF6" w14:textId="77777777" w:rsidR="00A34F5A" w:rsidRPr="00A34F5A" w:rsidRDefault="00A34F5A">
      <w:pPr>
        <w:rPr>
          <w:rFonts w:asciiTheme="majorHAnsi" w:hAnsiTheme="majorHAnsi"/>
          <w:b/>
        </w:rPr>
      </w:pPr>
    </w:p>
    <w:p w14:paraId="75685C91" w14:textId="77777777" w:rsidR="00A0230B" w:rsidRDefault="00A0230B" w:rsidP="001F061E">
      <w:pPr>
        <w:rPr>
          <w:rFonts w:asciiTheme="majorHAnsi" w:hAnsiTheme="majorHAnsi"/>
          <w:b/>
          <w:sz w:val="28"/>
        </w:rPr>
      </w:pPr>
    </w:p>
    <w:p w14:paraId="36B0F0A5" w14:textId="77777777" w:rsidR="00071A6B" w:rsidRDefault="00071A6B" w:rsidP="001F061E">
      <w:pPr>
        <w:rPr>
          <w:rFonts w:asciiTheme="majorHAnsi" w:hAnsiTheme="majorHAnsi"/>
          <w:b/>
          <w:sz w:val="28"/>
        </w:rPr>
      </w:pPr>
    </w:p>
    <w:p w14:paraId="7BC418F0" w14:textId="0E6E4099" w:rsidR="000B7BC5" w:rsidRDefault="00A3650B" w:rsidP="001F061E">
      <w:pPr>
        <w:rPr>
          <w:rFonts w:asciiTheme="majorHAnsi" w:hAnsiTheme="majorHAnsi"/>
          <w:b/>
          <w:sz w:val="28"/>
        </w:rPr>
      </w:pPr>
      <w:r w:rsidRPr="001063E5">
        <w:rPr>
          <w:rFonts w:asciiTheme="majorHAnsi" w:hAnsiTheme="majorHAnsi"/>
          <w:b/>
          <w:sz w:val="28"/>
        </w:rPr>
        <w:lastRenderedPageBreak/>
        <w:t>Medical Microbiology</w:t>
      </w:r>
    </w:p>
    <w:p w14:paraId="681BDB68" w14:textId="5964AA9E" w:rsidR="003118F0" w:rsidRDefault="003118F0" w:rsidP="003118F0">
      <w:r>
        <w:t xml:space="preserve">Review the role of </w:t>
      </w:r>
      <w:r w:rsidRPr="00BB6925">
        <w:rPr>
          <w:i/>
        </w:rPr>
        <w:t xml:space="preserve">Fusobacterium </w:t>
      </w:r>
      <w:proofErr w:type="spellStart"/>
      <w:r w:rsidRPr="00BB6925">
        <w:rPr>
          <w:i/>
        </w:rPr>
        <w:t>necrophorum</w:t>
      </w:r>
      <w:proofErr w:type="spellEnd"/>
      <w:r>
        <w:t xml:space="preserve"> as a cause of persistent and recurrent sore throat and the challenges associated with its laboratory diagnosis.</w:t>
      </w:r>
    </w:p>
    <w:p w14:paraId="784FA5B8" w14:textId="4DC2C46E" w:rsidR="00B355F5" w:rsidRPr="00A0230B" w:rsidRDefault="00A0230B" w:rsidP="003118F0">
      <w:pPr>
        <w:rPr>
          <w:b/>
          <w:bCs/>
          <w:sz w:val="22"/>
          <w:szCs w:val="22"/>
        </w:rPr>
      </w:pPr>
      <w:r w:rsidRPr="00A0230B">
        <w:rPr>
          <w:b/>
          <w:bCs/>
          <w:sz w:val="22"/>
          <w:szCs w:val="22"/>
        </w:rPr>
        <w:t>Starting</w:t>
      </w:r>
      <w:r w:rsidR="00B355F5" w:rsidRPr="00A0230B">
        <w:rPr>
          <w:b/>
          <w:bCs/>
          <w:sz w:val="22"/>
          <w:szCs w:val="22"/>
        </w:rPr>
        <w:t xml:space="preserve"> References:</w:t>
      </w:r>
    </w:p>
    <w:p w14:paraId="64A5B6F6" w14:textId="77777777" w:rsidR="003118F0" w:rsidRPr="00B355F5" w:rsidRDefault="003118F0" w:rsidP="003118F0">
      <w:pPr>
        <w:rPr>
          <w:sz w:val="22"/>
          <w:szCs w:val="22"/>
        </w:rPr>
      </w:pPr>
      <w:r w:rsidRPr="00B355F5">
        <w:rPr>
          <w:sz w:val="22"/>
          <w:szCs w:val="22"/>
        </w:rPr>
        <w:t xml:space="preserve">Ali SA, </w:t>
      </w:r>
      <w:proofErr w:type="spellStart"/>
      <w:r w:rsidRPr="00B355F5">
        <w:rPr>
          <w:sz w:val="22"/>
          <w:szCs w:val="22"/>
        </w:rPr>
        <w:t>Kovatch</w:t>
      </w:r>
      <w:proofErr w:type="spellEnd"/>
      <w:r w:rsidRPr="00B355F5">
        <w:rPr>
          <w:sz w:val="22"/>
          <w:szCs w:val="22"/>
        </w:rPr>
        <w:t xml:space="preserve"> KJ, Smith J, </w:t>
      </w:r>
      <w:proofErr w:type="spellStart"/>
      <w:r w:rsidRPr="00B355F5">
        <w:rPr>
          <w:sz w:val="22"/>
          <w:szCs w:val="22"/>
        </w:rPr>
        <w:t>Bellile</w:t>
      </w:r>
      <w:proofErr w:type="spellEnd"/>
      <w:r w:rsidRPr="00B355F5">
        <w:rPr>
          <w:sz w:val="22"/>
          <w:szCs w:val="22"/>
        </w:rPr>
        <w:t xml:space="preserve"> EL, Hanks JE, Hoff PT. Implication of </w:t>
      </w:r>
      <w:r w:rsidRPr="00B355F5">
        <w:rPr>
          <w:i/>
          <w:sz w:val="22"/>
          <w:szCs w:val="22"/>
        </w:rPr>
        <w:t xml:space="preserve">Fusobacterium </w:t>
      </w:r>
      <w:proofErr w:type="spellStart"/>
      <w:r w:rsidRPr="00B355F5">
        <w:rPr>
          <w:i/>
          <w:sz w:val="22"/>
          <w:szCs w:val="22"/>
        </w:rPr>
        <w:t>necrophorum</w:t>
      </w:r>
      <w:proofErr w:type="spellEnd"/>
      <w:r w:rsidRPr="00B355F5">
        <w:rPr>
          <w:sz w:val="22"/>
          <w:szCs w:val="22"/>
        </w:rPr>
        <w:t xml:space="preserve"> in recurrence of peritonsillar abscess. </w:t>
      </w:r>
      <w:r w:rsidRPr="00B355F5">
        <w:rPr>
          <w:i/>
          <w:sz w:val="22"/>
          <w:szCs w:val="22"/>
        </w:rPr>
        <w:t>Laryngoscope</w:t>
      </w:r>
      <w:r w:rsidRPr="00B355F5">
        <w:rPr>
          <w:sz w:val="22"/>
          <w:szCs w:val="22"/>
        </w:rPr>
        <w:t>. 2019 Jul;129(7):1567-1571.</w:t>
      </w:r>
    </w:p>
    <w:p w14:paraId="2BE2512A" w14:textId="77777777" w:rsidR="003118F0" w:rsidRPr="00B355F5" w:rsidRDefault="003118F0" w:rsidP="003118F0">
      <w:pPr>
        <w:rPr>
          <w:sz w:val="22"/>
          <w:szCs w:val="22"/>
        </w:rPr>
      </w:pPr>
    </w:p>
    <w:p w14:paraId="4468F3B4" w14:textId="58BB7E1F" w:rsidR="003118F0" w:rsidRPr="00B355F5" w:rsidRDefault="003118F0" w:rsidP="003118F0">
      <w:pPr>
        <w:rPr>
          <w:sz w:val="22"/>
          <w:szCs w:val="22"/>
        </w:rPr>
      </w:pPr>
      <w:r w:rsidRPr="00B355F5">
        <w:rPr>
          <w:sz w:val="22"/>
          <w:szCs w:val="22"/>
        </w:rPr>
        <w:t xml:space="preserve">Batty A, Wren MW, Gal M. </w:t>
      </w:r>
      <w:r w:rsidRPr="00B355F5">
        <w:rPr>
          <w:i/>
          <w:sz w:val="22"/>
          <w:szCs w:val="22"/>
        </w:rPr>
        <w:t xml:space="preserve">Fusobacterium </w:t>
      </w:r>
      <w:proofErr w:type="spellStart"/>
      <w:r w:rsidRPr="00B355F5">
        <w:rPr>
          <w:i/>
          <w:sz w:val="22"/>
          <w:szCs w:val="22"/>
        </w:rPr>
        <w:t>necrophorum</w:t>
      </w:r>
      <w:proofErr w:type="spellEnd"/>
      <w:r w:rsidRPr="00B355F5">
        <w:rPr>
          <w:sz w:val="22"/>
          <w:szCs w:val="22"/>
        </w:rPr>
        <w:t xml:space="preserve"> as the cause of recurrent sore throat: comparison of isolates from persistent sore throat syndrome and </w:t>
      </w:r>
      <w:proofErr w:type="spellStart"/>
      <w:r w:rsidRPr="00B355F5">
        <w:rPr>
          <w:sz w:val="22"/>
          <w:szCs w:val="22"/>
        </w:rPr>
        <w:t>Lemièrre's</w:t>
      </w:r>
      <w:proofErr w:type="spellEnd"/>
      <w:r w:rsidRPr="00B355F5">
        <w:rPr>
          <w:sz w:val="22"/>
          <w:szCs w:val="22"/>
        </w:rPr>
        <w:t xml:space="preserve"> disease. </w:t>
      </w:r>
      <w:r w:rsidRPr="00B355F5">
        <w:rPr>
          <w:i/>
          <w:sz w:val="22"/>
          <w:szCs w:val="22"/>
        </w:rPr>
        <w:t>J Infect</w:t>
      </w:r>
      <w:r w:rsidRPr="00B355F5">
        <w:rPr>
          <w:sz w:val="22"/>
          <w:szCs w:val="22"/>
        </w:rPr>
        <w:t xml:space="preserve"> </w:t>
      </w:r>
      <w:proofErr w:type="gramStart"/>
      <w:r w:rsidRPr="00B355F5">
        <w:rPr>
          <w:sz w:val="22"/>
          <w:szCs w:val="22"/>
        </w:rPr>
        <w:t>2005;51:299</w:t>
      </w:r>
      <w:proofErr w:type="gramEnd"/>
      <w:r w:rsidRPr="00B355F5">
        <w:rPr>
          <w:sz w:val="22"/>
          <w:szCs w:val="22"/>
        </w:rPr>
        <w:t>-306.</w:t>
      </w:r>
    </w:p>
    <w:p w14:paraId="1D797CF5" w14:textId="77777777" w:rsidR="003118F0" w:rsidRPr="00B355F5" w:rsidRDefault="003118F0" w:rsidP="003118F0">
      <w:pPr>
        <w:rPr>
          <w:sz w:val="22"/>
          <w:szCs w:val="22"/>
        </w:rPr>
      </w:pPr>
    </w:p>
    <w:p w14:paraId="095A0F4B" w14:textId="59D6B8B9" w:rsidR="003118F0" w:rsidRPr="00B355F5" w:rsidRDefault="003118F0" w:rsidP="003118F0">
      <w:pPr>
        <w:rPr>
          <w:sz w:val="22"/>
          <w:szCs w:val="22"/>
        </w:rPr>
      </w:pPr>
      <w:r w:rsidRPr="00B355F5">
        <w:rPr>
          <w:sz w:val="22"/>
          <w:szCs w:val="22"/>
        </w:rPr>
        <w:t xml:space="preserve">Eaton C, </w:t>
      </w:r>
      <w:proofErr w:type="spellStart"/>
      <w:r w:rsidRPr="00B355F5">
        <w:rPr>
          <w:sz w:val="22"/>
          <w:szCs w:val="22"/>
        </w:rPr>
        <w:t>Swindells</w:t>
      </w:r>
      <w:proofErr w:type="spellEnd"/>
      <w:r w:rsidRPr="00B355F5">
        <w:rPr>
          <w:sz w:val="22"/>
          <w:szCs w:val="22"/>
        </w:rPr>
        <w:t xml:space="preserve"> J. The significance and epidemiology of </w:t>
      </w:r>
      <w:r w:rsidRPr="00B355F5">
        <w:rPr>
          <w:i/>
          <w:sz w:val="22"/>
          <w:szCs w:val="22"/>
        </w:rPr>
        <w:t xml:space="preserve">Fusobacterium </w:t>
      </w:r>
      <w:proofErr w:type="spellStart"/>
      <w:r w:rsidRPr="00B355F5">
        <w:rPr>
          <w:i/>
          <w:sz w:val="22"/>
          <w:szCs w:val="22"/>
        </w:rPr>
        <w:t>necrophorum</w:t>
      </w:r>
      <w:proofErr w:type="spellEnd"/>
      <w:r w:rsidRPr="00B355F5">
        <w:rPr>
          <w:sz w:val="22"/>
          <w:szCs w:val="22"/>
        </w:rPr>
        <w:t xml:space="preserve"> in sore throats. </w:t>
      </w:r>
      <w:r w:rsidRPr="00B355F5">
        <w:rPr>
          <w:i/>
          <w:sz w:val="22"/>
          <w:szCs w:val="22"/>
        </w:rPr>
        <w:t>J Infect</w:t>
      </w:r>
      <w:r w:rsidRPr="00B355F5">
        <w:rPr>
          <w:sz w:val="22"/>
          <w:szCs w:val="22"/>
        </w:rPr>
        <w:t>. 2014 Aug;69(2):194-6.</w:t>
      </w:r>
    </w:p>
    <w:p w14:paraId="5440ED26" w14:textId="77777777" w:rsidR="003118F0" w:rsidRPr="00B355F5" w:rsidRDefault="003118F0" w:rsidP="003118F0">
      <w:pPr>
        <w:rPr>
          <w:sz w:val="22"/>
          <w:szCs w:val="22"/>
        </w:rPr>
      </w:pPr>
    </w:p>
    <w:p w14:paraId="5F096DFC" w14:textId="7EA28CE4" w:rsidR="003118F0" w:rsidRPr="00B355F5" w:rsidRDefault="003118F0" w:rsidP="003118F0">
      <w:pPr>
        <w:rPr>
          <w:sz w:val="22"/>
          <w:szCs w:val="22"/>
        </w:rPr>
      </w:pPr>
      <w:r w:rsidRPr="00B355F5">
        <w:rPr>
          <w:sz w:val="22"/>
          <w:szCs w:val="22"/>
        </w:rPr>
        <w:t xml:space="preserve">Holm K, Bank S, Nielsen H, Kristensen LH, </w:t>
      </w:r>
      <w:proofErr w:type="spellStart"/>
      <w:r w:rsidRPr="00B355F5">
        <w:rPr>
          <w:sz w:val="22"/>
          <w:szCs w:val="22"/>
        </w:rPr>
        <w:t>Prag</w:t>
      </w:r>
      <w:proofErr w:type="spellEnd"/>
      <w:r w:rsidRPr="00B355F5">
        <w:rPr>
          <w:sz w:val="22"/>
          <w:szCs w:val="22"/>
        </w:rPr>
        <w:t xml:space="preserve"> J, Jensen A. The role of </w:t>
      </w:r>
      <w:r w:rsidRPr="00B355F5">
        <w:rPr>
          <w:i/>
          <w:sz w:val="22"/>
          <w:szCs w:val="22"/>
        </w:rPr>
        <w:t xml:space="preserve">Fusobacterium </w:t>
      </w:r>
      <w:proofErr w:type="spellStart"/>
      <w:r w:rsidRPr="00B355F5">
        <w:rPr>
          <w:i/>
          <w:sz w:val="22"/>
          <w:szCs w:val="22"/>
        </w:rPr>
        <w:t>necrophorum</w:t>
      </w:r>
      <w:proofErr w:type="spellEnd"/>
      <w:r w:rsidRPr="00B355F5">
        <w:rPr>
          <w:sz w:val="22"/>
          <w:szCs w:val="22"/>
        </w:rPr>
        <w:t xml:space="preserve"> in pharyngotonsillitis - A review. </w:t>
      </w:r>
      <w:r w:rsidRPr="00B355F5">
        <w:rPr>
          <w:i/>
          <w:sz w:val="22"/>
          <w:szCs w:val="22"/>
        </w:rPr>
        <w:t>Anaerobe</w:t>
      </w:r>
      <w:r w:rsidRPr="00B355F5">
        <w:rPr>
          <w:sz w:val="22"/>
          <w:szCs w:val="22"/>
        </w:rPr>
        <w:t xml:space="preserve">. 2016 </w:t>
      </w:r>
      <w:proofErr w:type="gramStart"/>
      <w:r w:rsidRPr="00B355F5">
        <w:rPr>
          <w:sz w:val="22"/>
          <w:szCs w:val="22"/>
        </w:rPr>
        <w:t>De</w:t>
      </w:r>
      <w:r w:rsidR="00A0230B">
        <w:rPr>
          <w:sz w:val="22"/>
          <w:szCs w:val="22"/>
        </w:rPr>
        <w:t>c;</w:t>
      </w:r>
      <w:r w:rsidRPr="00B355F5">
        <w:rPr>
          <w:sz w:val="22"/>
          <w:szCs w:val="22"/>
        </w:rPr>
        <w:t>42:89</w:t>
      </w:r>
      <w:proofErr w:type="gramEnd"/>
      <w:r w:rsidRPr="00B355F5">
        <w:rPr>
          <w:sz w:val="22"/>
          <w:szCs w:val="22"/>
        </w:rPr>
        <w:t>-97.</w:t>
      </w:r>
    </w:p>
    <w:p w14:paraId="0F3139FE" w14:textId="77777777" w:rsidR="003118F0" w:rsidRPr="00B355F5" w:rsidRDefault="003118F0" w:rsidP="003118F0">
      <w:pPr>
        <w:rPr>
          <w:sz w:val="22"/>
          <w:szCs w:val="22"/>
        </w:rPr>
      </w:pPr>
    </w:p>
    <w:p w14:paraId="07CD502A" w14:textId="407CCF80" w:rsidR="003118F0" w:rsidRPr="00B355F5" w:rsidRDefault="003118F0" w:rsidP="003118F0">
      <w:pPr>
        <w:rPr>
          <w:sz w:val="22"/>
          <w:szCs w:val="22"/>
        </w:rPr>
      </w:pPr>
      <w:r w:rsidRPr="00B355F5">
        <w:rPr>
          <w:sz w:val="22"/>
          <w:szCs w:val="22"/>
        </w:rPr>
        <w:t xml:space="preserve">Price SL, Hardy S, Gale P, </w:t>
      </w:r>
      <w:proofErr w:type="spellStart"/>
      <w:r w:rsidRPr="00B355F5">
        <w:rPr>
          <w:sz w:val="22"/>
          <w:szCs w:val="22"/>
        </w:rPr>
        <w:t>Basten</w:t>
      </w:r>
      <w:proofErr w:type="spellEnd"/>
      <w:r w:rsidRPr="00B355F5">
        <w:rPr>
          <w:sz w:val="22"/>
          <w:szCs w:val="22"/>
        </w:rPr>
        <w:t xml:space="preserve"> GP. Prevalence of </w:t>
      </w:r>
      <w:r w:rsidRPr="00B355F5">
        <w:rPr>
          <w:i/>
          <w:sz w:val="22"/>
          <w:szCs w:val="22"/>
        </w:rPr>
        <w:t xml:space="preserve">Fusobacterium </w:t>
      </w:r>
      <w:proofErr w:type="spellStart"/>
      <w:r w:rsidRPr="00B355F5">
        <w:rPr>
          <w:i/>
          <w:sz w:val="22"/>
          <w:szCs w:val="22"/>
        </w:rPr>
        <w:t>necrophorum</w:t>
      </w:r>
      <w:proofErr w:type="spellEnd"/>
      <w:r w:rsidRPr="00B355F5">
        <w:rPr>
          <w:sz w:val="22"/>
          <w:szCs w:val="22"/>
        </w:rPr>
        <w:t xml:space="preserve"> in persistent sore throat samples. </w:t>
      </w:r>
      <w:r w:rsidRPr="00B355F5">
        <w:rPr>
          <w:i/>
          <w:sz w:val="22"/>
          <w:szCs w:val="22"/>
        </w:rPr>
        <w:t>Br J Biomed Sci</w:t>
      </w:r>
      <w:r w:rsidRPr="00B355F5">
        <w:rPr>
          <w:sz w:val="22"/>
          <w:szCs w:val="22"/>
        </w:rPr>
        <w:t>. 2011;68(4):209-10.</w:t>
      </w:r>
    </w:p>
    <w:p w14:paraId="2FAAA4B0" w14:textId="77777777" w:rsidR="003118F0" w:rsidRPr="00B355F5" w:rsidRDefault="003118F0" w:rsidP="003118F0">
      <w:pPr>
        <w:rPr>
          <w:sz w:val="22"/>
          <w:szCs w:val="22"/>
        </w:rPr>
      </w:pPr>
    </w:p>
    <w:p w14:paraId="6A891925" w14:textId="3879B1E6" w:rsidR="003118F0" w:rsidRPr="00B355F5" w:rsidRDefault="003118F0" w:rsidP="003118F0">
      <w:pPr>
        <w:rPr>
          <w:sz w:val="22"/>
          <w:szCs w:val="22"/>
        </w:rPr>
      </w:pPr>
      <w:r w:rsidRPr="00B355F5">
        <w:rPr>
          <w:sz w:val="22"/>
          <w:szCs w:val="22"/>
        </w:rPr>
        <w:t xml:space="preserve">UK SMI 25 Identification of anaerobic </w:t>
      </w:r>
      <w:proofErr w:type="gramStart"/>
      <w:r w:rsidRPr="00B355F5">
        <w:rPr>
          <w:sz w:val="22"/>
          <w:szCs w:val="22"/>
        </w:rPr>
        <w:t>Gram negative</w:t>
      </w:r>
      <w:proofErr w:type="gramEnd"/>
      <w:r w:rsidRPr="00B355F5">
        <w:rPr>
          <w:sz w:val="22"/>
          <w:szCs w:val="22"/>
        </w:rPr>
        <w:t xml:space="preserve"> rods</w:t>
      </w:r>
    </w:p>
    <w:p w14:paraId="2896A1FF" w14:textId="77777777" w:rsidR="003118F0" w:rsidRDefault="003118F0" w:rsidP="003118F0"/>
    <w:p w14:paraId="7FA08D72" w14:textId="77777777" w:rsidR="003118F0" w:rsidRDefault="003118F0" w:rsidP="003118F0">
      <w:pPr>
        <w:rPr>
          <w:bCs/>
        </w:rPr>
      </w:pPr>
    </w:p>
    <w:p w14:paraId="3DC0F175" w14:textId="759B5AA0" w:rsidR="003118F0" w:rsidRPr="00B355F5" w:rsidRDefault="003118F0" w:rsidP="003118F0">
      <w:pPr>
        <w:rPr>
          <w:bCs/>
        </w:rPr>
      </w:pPr>
      <w:r w:rsidRPr="00B35AE7">
        <w:rPr>
          <w:bCs/>
        </w:rPr>
        <w:t>Discuss the challenges in diagnosing prosthetic joint infections</w:t>
      </w:r>
      <w:r>
        <w:rPr>
          <w:bCs/>
        </w:rPr>
        <w:t>.</w:t>
      </w:r>
    </w:p>
    <w:p w14:paraId="345EFD0C" w14:textId="5A1C65D1" w:rsidR="003118F0" w:rsidRPr="00A0230B" w:rsidRDefault="003118F0" w:rsidP="003118F0">
      <w:pPr>
        <w:rPr>
          <w:b/>
          <w:bCs/>
          <w:sz w:val="22"/>
          <w:szCs w:val="22"/>
        </w:rPr>
      </w:pPr>
      <w:r w:rsidRPr="00A0230B">
        <w:rPr>
          <w:b/>
          <w:bCs/>
          <w:sz w:val="22"/>
          <w:szCs w:val="22"/>
        </w:rPr>
        <w:t>Starting references:</w:t>
      </w:r>
    </w:p>
    <w:p w14:paraId="3B1E8E13" w14:textId="77777777" w:rsidR="003118F0" w:rsidRPr="00B355F5" w:rsidRDefault="003118F0" w:rsidP="003118F0">
      <w:pPr>
        <w:rPr>
          <w:sz w:val="22"/>
          <w:szCs w:val="22"/>
        </w:rPr>
      </w:pPr>
      <w:r w:rsidRPr="00B355F5">
        <w:rPr>
          <w:sz w:val="22"/>
          <w:szCs w:val="22"/>
        </w:rPr>
        <w:t>SMI B 44: Investigations of orthopaedic implants associated infections</w:t>
      </w:r>
    </w:p>
    <w:p w14:paraId="1E3D4B24" w14:textId="77777777" w:rsidR="003118F0" w:rsidRPr="00B355F5" w:rsidRDefault="003118F0" w:rsidP="003118F0">
      <w:pPr>
        <w:rPr>
          <w:sz w:val="22"/>
          <w:szCs w:val="22"/>
        </w:rPr>
      </w:pPr>
    </w:p>
    <w:p w14:paraId="30786E8F" w14:textId="77777777" w:rsidR="003118F0" w:rsidRPr="00B355F5" w:rsidRDefault="003118F0" w:rsidP="003118F0">
      <w:pPr>
        <w:rPr>
          <w:sz w:val="22"/>
          <w:szCs w:val="22"/>
        </w:rPr>
      </w:pPr>
      <w:r w:rsidRPr="00B355F5">
        <w:rPr>
          <w:sz w:val="22"/>
          <w:szCs w:val="22"/>
        </w:rPr>
        <w:t xml:space="preserve">Prosthetic Joint Infections. Clin </w:t>
      </w:r>
      <w:proofErr w:type="spellStart"/>
      <w:r w:rsidRPr="00B355F5">
        <w:rPr>
          <w:sz w:val="22"/>
          <w:szCs w:val="22"/>
        </w:rPr>
        <w:t>Microbiol</w:t>
      </w:r>
      <w:proofErr w:type="spellEnd"/>
      <w:r w:rsidRPr="00B355F5">
        <w:rPr>
          <w:sz w:val="22"/>
          <w:szCs w:val="22"/>
        </w:rPr>
        <w:t xml:space="preserve"> Rev. 2014 Apr; 27(2): 302-345 </w:t>
      </w:r>
      <w:proofErr w:type="spellStart"/>
      <w:r w:rsidRPr="00B355F5">
        <w:rPr>
          <w:sz w:val="22"/>
          <w:szCs w:val="22"/>
        </w:rPr>
        <w:t>doi</w:t>
      </w:r>
      <w:proofErr w:type="spellEnd"/>
      <w:r w:rsidRPr="00B355F5">
        <w:rPr>
          <w:sz w:val="22"/>
          <w:szCs w:val="22"/>
        </w:rPr>
        <w:t>: 10.1128/CMR.00111-13</w:t>
      </w:r>
    </w:p>
    <w:p w14:paraId="374073E4" w14:textId="315B8A3B" w:rsidR="003118F0" w:rsidRDefault="003118F0" w:rsidP="00DC6E18">
      <w:pPr>
        <w:rPr>
          <w:rFonts w:asciiTheme="majorHAnsi" w:hAnsiTheme="majorHAnsi"/>
          <w:b/>
          <w:szCs w:val="22"/>
        </w:rPr>
      </w:pPr>
    </w:p>
    <w:p w14:paraId="1FD2D0A7" w14:textId="77777777" w:rsidR="00B355F5" w:rsidRDefault="00B355F5" w:rsidP="00DC6E18">
      <w:pPr>
        <w:rPr>
          <w:b/>
          <w:sz w:val="28"/>
        </w:rPr>
      </w:pPr>
    </w:p>
    <w:p w14:paraId="191D2BAC" w14:textId="0E7AE23D" w:rsidR="003118F0" w:rsidRPr="00B355F5" w:rsidRDefault="00172EF6" w:rsidP="003118F0">
      <w:pPr>
        <w:rPr>
          <w:b/>
          <w:sz w:val="28"/>
        </w:rPr>
      </w:pPr>
      <w:r w:rsidRPr="001063E5">
        <w:rPr>
          <w:b/>
          <w:sz w:val="28"/>
        </w:rPr>
        <w:t>Transfusion Science</w:t>
      </w:r>
    </w:p>
    <w:p w14:paraId="7582A47D" w14:textId="77777777" w:rsidR="003118F0" w:rsidRPr="003118F0" w:rsidRDefault="003118F0" w:rsidP="003118F0">
      <w:pPr>
        <w:rPr>
          <w:rFonts w:asciiTheme="majorHAnsi" w:hAnsiTheme="majorHAnsi" w:cstheme="majorHAnsi"/>
        </w:rPr>
      </w:pPr>
      <w:r w:rsidRPr="003118F0">
        <w:rPr>
          <w:rFonts w:asciiTheme="majorHAnsi" w:hAnsiTheme="majorHAnsi" w:cstheme="majorHAnsi"/>
        </w:rPr>
        <w:t>Discuss the reasons for conservation of O negative red cells. Critically evaluate the strategies that may be used to achieve this both locally and nationally and what you believe would be effective and why?</w:t>
      </w:r>
    </w:p>
    <w:p w14:paraId="168982A8" w14:textId="14A765B6" w:rsidR="003118F0" w:rsidRDefault="003118F0" w:rsidP="003118F0">
      <w:pPr>
        <w:pStyle w:val="ListParagraph"/>
        <w:ind w:left="2160"/>
        <w:rPr>
          <w:rFonts w:asciiTheme="majorHAnsi" w:hAnsiTheme="majorHAnsi" w:cstheme="majorHAnsi"/>
        </w:rPr>
      </w:pPr>
    </w:p>
    <w:p w14:paraId="74F5A425" w14:textId="77777777" w:rsidR="00A0230B" w:rsidRPr="003118F0" w:rsidRDefault="00A0230B" w:rsidP="003118F0">
      <w:pPr>
        <w:pStyle w:val="ListParagraph"/>
        <w:ind w:left="2160"/>
        <w:rPr>
          <w:rFonts w:asciiTheme="majorHAnsi" w:hAnsiTheme="majorHAnsi" w:cstheme="majorHAnsi"/>
        </w:rPr>
      </w:pPr>
    </w:p>
    <w:p w14:paraId="168F356B" w14:textId="79974EED" w:rsidR="00EB1526" w:rsidRPr="003118F0" w:rsidRDefault="003118F0" w:rsidP="00DC6E18">
      <w:pPr>
        <w:rPr>
          <w:rFonts w:asciiTheme="majorHAnsi" w:hAnsiTheme="majorHAnsi" w:cstheme="majorHAnsi"/>
        </w:rPr>
      </w:pPr>
      <w:r w:rsidRPr="003118F0">
        <w:rPr>
          <w:rFonts w:asciiTheme="majorHAnsi" w:hAnsiTheme="majorHAnsi" w:cstheme="majorHAnsi"/>
        </w:rPr>
        <w:t>Describe the clinical features and underlying immunological basis of (</w:t>
      </w:r>
      <w:proofErr w:type="spellStart"/>
      <w:r w:rsidRPr="003118F0">
        <w:rPr>
          <w:rFonts w:asciiTheme="majorHAnsi" w:hAnsiTheme="majorHAnsi" w:cstheme="majorHAnsi"/>
        </w:rPr>
        <w:t>i</w:t>
      </w:r>
      <w:proofErr w:type="spellEnd"/>
      <w:r w:rsidRPr="003118F0">
        <w:rPr>
          <w:rFonts w:asciiTheme="majorHAnsi" w:hAnsiTheme="majorHAnsi" w:cstheme="majorHAnsi"/>
        </w:rPr>
        <w:t>) immediate HTR and (ii) delayed HTR and the mechanisms to prevent them</w:t>
      </w:r>
    </w:p>
    <w:p w14:paraId="0F0104D8" w14:textId="0F21368F" w:rsidR="00EB1526" w:rsidRDefault="00EB1526" w:rsidP="00DC6E18">
      <w:pPr>
        <w:rPr>
          <w:b/>
          <w:szCs w:val="22"/>
        </w:rPr>
      </w:pPr>
    </w:p>
    <w:p w14:paraId="0836D3F6" w14:textId="77777777" w:rsidR="003118F0" w:rsidRPr="003118F0" w:rsidRDefault="003118F0" w:rsidP="00DC6E18">
      <w:pPr>
        <w:rPr>
          <w:b/>
          <w:szCs w:val="22"/>
        </w:rPr>
      </w:pPr>
    </w:p>
    <w:p w14:paraId="331BD899" w14:textId="1B45F370" w:rsidR="003118F0" w:rsidRPr="00B355F5" w:rsidRDefault="009C6732" w:rsidP="00B355F5">
      <w:pPr>
        <w:rPr>
          <w:b/>
          <w:sz w:val="28"/>
        </w:rPr>
      </w:pPr>
      <w:r w:rsidRPr="001063E5">
        <w:rPr>
          <w:b/>
          <w:sz w:val="28"/>
        </w:rPr>
        <w:t>Virology</w:t>
      </w:r>
    </w:p>
    <w:p w14:paraId="3589A186" w14:textId="6598C8C8" w:rsidR="003118F0" w:rsidRPr="003118F0" w:rsidRDefault="003118F0" w:rsidP="003118F0">
      <w:pPr>
        <w:pStyle w:val="Body"/>
        <w:rPr>
          <w:rFonts w:asciiTheme="majorHAnsi" w:hAnsiTheme="majorHAnsi" w:cstheme="majorHAnsi"/>
          <w:sz w:val="24"/>
          <w:szCs w:val="24"/>
        </w:rPr>
      </w:pPr>
      <w:r w:rsidRPr="003118F0">
        <w:rPr>
          <w:rFonts w:asciiTheme="majorHAnsi" w:hAnsiTheme="majorHAnsi" w:cstheme="majorHAnsi"/>
          <w:sz w:val="24"/>
          <w:szCs w:val="24"/>
        </w:rPr>
        <w:t xml:space="preserve">Discuss the role of diagnostic and reference laboratory services in surveillance and control of infections with viruses of the genus </w:t>
      </w:r>
      <w:r w:rsidRPr="003118F0">
        <w:rPr>
          <w:rFonts w:asciiTheme="majorHAnsi" w:hAnsiTheme="majorHAnsi" w:cstheme="majorHAnsi"/>
          <w:i/>
          <w:iCs/>
          <w:sz w:val="24"/>
          <w:szCs w:val="24"/>
        </w:rPr>
        <w:t xml:space="preserve">Enterovirus </w:t>
      </w:r>
    </w:p>
    <w:p w14:paraId="1B5DB5C1" w14:textId="3D03F98B" w:rsidR="003118F0" w:rsidRDefault="003118F0" w:rsidP="003118F0">
      <w:pPr>
        <w:pStyle w:val="Body"/>
        <w:rPr>
          <w:rFonts w:asciiTheme="majorHAnsi" w:hAnsiTheme="majorHAnsi" w:cstheme="majorHAnsi"/>
          <w:sz w:val="24"/>
          <w:szCs w:val="24"/>
        </w:rPr>
      </w:pPr>
    </w:p>
    <w:p w14:paraId="5C8926EE" w14:textId="77777777" w:rsidR="00A0230B" w:rsidRPr="003118F0" w:rsidRDefault="00A0230B" w:rsidP="003118F0">
      <w:pPr>
        <w:pStyle w:val="Body"/>
        <w:rPr>
          <w:rFonts w:asciiTheme="majorHAnsi" w:hAnsiTheme="majorHAnsi" w:cstheme="majorHAnsi"/>
          <w:sz w:val="24"/>
          <w:szCs w:val="24"/>
        </w:rPr>
      </w:pPr>
    </w:p>
    <w:p w14:paraId="101C2563" w14:textId="3D6A239F" w:rsidR="00524260" w:rsidRPr="00A0230B" w:rsidRDefault="003118F0" w:rsidP="00A0230B">
      <w:pPr>
        <w:pStyle w:val="Body"/>
        <w:rPr>
          <w:rFonts w:asciiTheme="majorHAnsi" w:hAnsiTheme="majorHAnsi" w:cstheme="majorHAnsi"/>
          <w:sz w:val="24"/>
          <w:szCs w:val="24"/>
        </w:rPr>
      </w:pPr>
      <w:r w:rsidRPr="003118F0">
        <w:rPr>
          <w:rFonts w:asciiTheme="majorHAnsi" w:hAnsiTheme="majorHAnsi" w:cstheme="majorHAnsi"/>
          <w:sz w:val="24"/>
          <w:szCs w:val="24"/>
        </w:rPr>
        <w:t>Critically</w:t>
      </w:r>
      <w:r w:rsidRPr="003118F0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3118F0">
        <w:rPr>
          <w:rFonts w:asciiTheme="majorHAnsi" w:hAnsiTheme="majorHAnsi" w:cstheme="majorHAnsi"/>
          <w:sz w:val="24"/>
          <w:szCs w:val="24"/>
        </w:rPr>
        <w:t>reflect on national and international strategies for pandemic preparedness. Suggest one aspect of the plans which could be improved by stronger input from biomedical scientists.</w:t>
      </w:r>
    </w:p>
    <w:sectPr w:rsidR="00524260" w:rsidRPr="00A0230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40A5A" w14:textId="77777777" w:rsidR="00B241A4" w:rsidRDefault="00B241A4" w:rsidP="00AC52AF">
      <w:r>
        <w:separator/>
      </w:r>
    </w:p>
  </w:endnote>
  <w:endnote w:type="continuationSeparator" w:id="0">
    <w:p w14:paraId="496D8F55" w14:textId="77777777" w:rsidR="00B241A4" w:rsidRDefault="00B241A4" w:rsidP="00AC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88FA8" w14:textId="50849907" w:rsidR="00B241A4" w:rsidRPr="008B49AE" w:rsidRDefault="00B241A4">
    <w:pPr>
      <w:pStyle w:val="Footer"/>
      <w:rPr>
        <w:sz w:val="20"/>
        <w:szCs w:val="20"/>
      </w:rPr>
    </w:pPr>
    <w:r w:rsidRPr="00FB5517">
      <w:rPr>
        <w:sz w:val="20"/>
        <w:szCs w:val="20"/>
      </w:rPr>
      <w:t xml:space="preserve">HSD Essay Titles </w:t>
    </w:r>
    <w:r>
      <w:rPr>
        <w:sz w:val="20"/>
        <w:szCs w:val="20"/>
      </w:rPr>
      <w:t>for Portfolio Submission in 202</w:t>
    </w:r>
    <w:r w:rsidR="008B49AE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5C0AC" w14:textId="77777777" w:rsidR="00B241A4" w:rsidRDefault="00B241A4" w:rsidP="00AC52AF">
      <w:r>
        <w:separator/>
      </w:r>
    </w:p>
  </w:footnote>
  <w:footnote w:type="continuationSeparator" w:id="0">
    <w:p w14:paraId="12063FF2" w14:textId="77777777" w:rsidR="00B241A4" w:rsidRDefault="00B241A4" w:rsidP="00AC5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27780"/>
    <w:multiLevelType w:val="hybridMultilevel"/>
    <w:tmpl w:val="64DA6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544"/>
    <w:multiLevelType w:val="hybridMultilevel"/>
    <w:tmpl w:val="7B107D26"/>
    <w:lvl w:ilvl="0" w:tplc="F0800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BEE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A6F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652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CA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B44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C66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2E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561F8"/>
    <w:multiLevelType w:val="hybridMultilevel"/>
    <w:tmpl w:val="5BAE90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0FCD"/>
    <w:multiLevelType w:val="hybridMultilevel"/>
    <w:tmpl w:val="96D04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935B5"/>
    <w:multiLevelType w:val="hybridMultilevel"/>
    <w:tmpl w:val="4F7475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42FD8"/>
    <w:multiLevelType w:val="hybridMultilevel"/>
    <w:tmpl w:val="0D84C920"/>
    <w:lvl w:ilvl="0" w:tplc="8E560C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D12DA"/>
    <w:multiLevelType w:val="hybridMultilevel"/>
    <w:tmpl w:val="6BC84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7591D"/>
    <w:multiLevelType w:val="hybridMultilevel"/>
    <w:tmpl w:val="C9E04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971DD"/>
    <w:multiLevelType w:val="hybridMultilevel"/>
    <w:tmpl w:val="76B21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E296F"/>
    <w:multiLevelType w:val="hybridMultilevel"/>
    <w:tmpl w:val="8F38C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D32F8F"/>
    <w:multiLevelType w:val="hybridMultilevel"/>
    <w:tmpl w:val="64B4C13A"/>
    <w:styleLink w:val="Numbered"/>
    <w:lvl w:ilvl="0" w:tplc="6A1C54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22920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3A8B1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D4384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E032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3A6A0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0680D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1E26F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E2B85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7C7F05"/>
    <w:multiLevelType w:val="hybridMultilevel"/>
    <w:tmpl w:val="ABE4E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CC2847"/>
    <w:multiLevelType w:val="hybridMultilevel"/>
    <w:tmpl w:val="F4CE1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A4EED"/>
    <w:multiLevelType w:val="hybridMultilevel"/>
    <w:tmpl w:val="82546DA2"/>
    <w:lvl w:ilvl="0" w:tplc="5328794E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6A17D81"/>
    <w:multiLevelType w:val="hybridMultilevel"/>
    <w:tmpl w:val="E1EE0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C3DB0"/>
    <w:multiLevelType w:val="hybridMultilevel"/>
    <w:tmpl w:val="B01CB6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8A29F3"/>
    <w:multiLevelType w:val="hybridMultilevel"/>
    <w:tmpl w:val="F514C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D342C"/>
    <w:multiLevelType w:val="hybridMultilevel"/>
    <w:tmpl w:val="88A45B70"/>
    <w:lvl w:ilvl="0" w:tplc="88F20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34E99"/>
    <w:multiLevelType w:val="hybridMultilevel"/>
    <w:tmpl w:val="0108E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C7856"/>
    <w:multiLevelType w:val="hybridMultilevel"/>
    <w:tmpl w:val="64B4C13A"/>
    <w:numStyleLink w:val="Numbered"/>
  </w:abstractNum>
  <w:abstractNum w:abstractNumId="20" w15:restartNumberingAfterBreak="0">
    <w:nsid w:val="4DB85CC6"/>
    <w:multiLevelType w:val="hybridMultilevel"/>
    <w:tmpl w:val="35C05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4711C"/>
    <w:multiLevelType w:val="hybridMultilevel"/>
    <w:tmpl w:val="7F72D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C215F3"/>
    <w:multiLevelType w:val="hybridMultilevel"/>
    <w:tmpl w:val="E7A425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B664D"/>
    <w:multiLevelType w:val="hybridMultilevel"/>
    <w:tmpl w:val="AB4C36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921D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5202"/>
    <w:multiLevelType w:val="hybridMultilevel"/>
    <w:tmpl w:val="DEDA1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44338"/>
    <w:multiLevelType w:val="multilevel"/>
    <w:tmpl w:val="F038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372D8C"/>
    <w:multiLevelType w:val="hybridMultilevel"/>
    <w:tmpl w:val="307A4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181591"/>
    <w:multiLevelType w:val="hybridMultilevel"/>
    <w:tmpl w:val="07E42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C3EFB"/>
    <w:multiLevelType w:val="hybridMultilevel"/>
    <w:tmpl w:val="CEDA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D0B06"/>
    <w:multiLevelType w:val="hybridMultilevel"/>
    <w:tmpl w:val="0C429D6C"/>
    <w:lvl w:ilvl="0" w:tplc="B4ACD3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DB25B4"/>
    <w:multiLevelType w:val="hybridMultilevel"/>
    <w:tmpl w:val="13F63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B5FA5"/>
    <w:multiLevelType w:val="hybridMultilevel"/>
    <w:tmpl w:val="0CD4A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E764AA"/>
    <w:multiLevelType w:val="hybridMultilevel"/>
    <w:tmpl w:val="2DE86E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5525F"/>
    <w:multiLevelType w:val="hybridMultilevel"/>
    <w:tmpl w:val="EB1C1E0C"/>
    <w:lvl w:ilvl="0" w:tplc="4670BD7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D3C31"/>
    <w:multiLevelType w:val="hybridMultilevel"/>
    <w:tmpl w:val="D932DE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47533A"/>
    <w:multiLevelType w:val="hybridMultilevel"/>
    <w:tmpl w:val="40EC29DA"/>
    <w:lvl w:ilvl="0" w:tplc="F0800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6600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BEE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A6F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652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CA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B44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C66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2E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401361"/>
    <w:multiLevelType w:val="hybridMultilevel"/>
    <w:tmpl w:val="2A7AD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E75A0"/>
    <w:multiLevelType w:val="hybridMultilevel"/>
    <w:tmpl w:val="58008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D122F"/>
    <w:multiLevelType w:val="hybridMultilevel"/>
    <w:tmpl w:val="CA20B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3B6AAF"/>
    <w:multiLevelType w:val="hybridMultilevel"/>
    <w:tmpl w:val="4616374C"/>
    <w:lvl w:ilvl="0" w:tplc="DA14AF4A">
      <w:start w:val="1"/>
      <w:numFmt w:val="decimal"/>
      <w:lvlText w:val="%1."/>
      <w:lvlJc w:val="left"/>
      <w:pPr>
        <w:ind w:left="42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7D726183"/>
    <w:multiLevelType w:val="hybridMultilevel"/>
    <w:tmpl w:val="98406C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102B8"/>
    <w:multiLevelType w:val="hybridMultilevel"/>
    <w:tmpl w:val="88385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83A53"/>
    <w:multiLevelType w:val="hybridMultilevel"/>
    <w:tmpl w:val="92AC7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3"/>
  </w:num>
  <w:num w:numId="7">
    <w:abstractNumId w:val="2"/>
  </w:num>
  <w:num w:numId="8">
    <w:abstractNumId w:val="3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2"/>
  </w:num>
  <w:num w:numId="21">
    <w:abstractNumId w:val="17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6"/>
  </w:num>
  <w:num w:numId="25">
    <w:abstractNumId w:val="5"/>
  </w:num>
  <w:num w:numId="26">
    <w:abstractNumId w:val="30"/>
  </w:num>
  <w:num w:numId="27">
    <w:abstractNumId w:val="42"/>
  </w:num>
  <w:num w:numId="28">
    <w:abstractNumId w:val="28"/>
  </w:num>
  <w:num w:numId="29">
    <w:abstractNumId w:val="18"/>
  </w:num>
  <w:num w:numId="30">
    <w:abstractNumId w:val="41"/>
  </w:num>
  <w:num w:numId="31">
    <w:abstractNumId w:val="35"/>
  </w:num>
  <w:num w:numId="32">
    <w:abstractNumId w:val="29"/>
  </w:num>
  <w:num w:numId="33">
    <w:abstractNumId w:val="4"/>
  </w:num>
  <w:num w:numId="34">
    <w:abstractNumId w:val="24"/>
  </w:num>
  <w:num w:numId="35">
    <w:abstractNumId w:val="7"/>
  </w:num>
  <w:num w:numId="36">
    <w:abstractNumId w:val="1"/>
  </w:num>
  <w:num w:numId="37">
    <w:abstractNumId w:val="15"/>
  </w:num>
  <w:num w:numId="38">
    <w:abstractNumId w:val="13"/>
  </w:num>
  <w:num w:numId="39">
    <w:abstractNumId w:val="10"/>
  </w:num>
  <w:num w:numId="40">
    <w:abstractNumId w:val="19"/>
  </w:num>
  <w:num w:numId="41">
    <w:abstractNumId w:val="2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872"/>
    <w:rsid w:val="000002CE"/>
    <w:rsid w:val="00071A6B"/>
    <w:rsid w:val="000B7BC5"/>
    <w:rsid w:val="000C3692"/>
    <w:rsid w:val="000C3A09"/>
    <w:rsid w:val="001063E5"/>
    <w:rsid w:val="001300B4"/>
    <w:rsid w:val="00160F3D"/>
    <w:rsid w:val="00172EF6"/>
    <w:rsid w:val="001F061E"/>
    <w:rsid w:val="0028526D"/>
    <w:rsid w:val="003118F0"/>
    <w:rsid w:val="0031339D"/>
    <w:rsid w:val="0032393E"/>
    <w:rsid w:val="003B7D33"/>
    <w:rsid w:val="003D7B58"/>
    <w:rsid w:val="004019AE"/>
    <w:rsid w:val="00440CA4"/>
    <w:rsid w:val="004B42B7"/>
    <w:rsid w:val="004D71EC"/>
    <w:rsid w:val="004E4B8B"/>
    <w:rsid w:val="004E7182"/>
    <w:rsid w:val="00520FD3"/>
    <w:rsid w:val="00524260"/>
    <w:rsid w:val="00567E5E"/>
    <w:rsid w:val="005F181D"/>
    <w:rsid w:val="006013F9"/>
    <w:rsid w:val="00653138"/>
    <w:rsid w:val="00680F60"/>
    <w:rsid w:val="00704402"/>
    <w:rsid w:val="00793FD5"/>
    <w:rsid w:val="007B6A01"/>
    <w:rsid w:val="007C1531"/>
    <w:rsid w:val="007D6C87"/>
    <w:rsid w:val="008125F6"/>
    <w:rsid w:val="00813503"/>
    <w:rsid w:val="00836289"/>
    <w:rsid w:val="00841EC0"/>
    <w:rsid w:val="00882872"/>
    <w:rsid w:val="0089288C"/>
    <w:rsid w:val="008B16F2"/>
    <w:rsid w:val="008B49AE"/>
    <w:rsid w:val="008C1A81"/>
    <w:rsid w:val="00936FB7"/>
    <w:rsid w:val="00940B25"/>
    <w:rsid w:val="00942021"/>
    <w:rsid w:val="00973012"/>
    <w:rsid w:val="009C6732"/>
    <w:rsid w:val="00A0230B"/>
    <w:rsid w:val="00A34F5A"/>
    <w:rsid w:val="00A3650B"/>
    <w:rsid w:val="00A3669A"/>
    <w:rsid w:val="00AB269E"/>
    <w:rsid w:val="00AC52AF"/>
    <w:rsid w:val="00B241A4"/>
    <w:rsid w:val="00B355F5"/>
    <w:rsid w:val="00B94DF9"/>
    <w:rsid w:val="00B97000"/>
    <w:rsid w:val="00C04A56"/>
    <w:rsid w:val="00C135A2"/>
    <w:rsid w:val="00C43668"/>
    <w:rsid w:val="00CF2D2E"/>
    <w:rsid w:val="00DC6E18"/>
    <w:rsid w:val="00E44C46"/>
    <w:rsid w:val="00E4576F"/>
    <w:rsid w:val="00EA2BAC"/>
    <w:rsid w:val="00EB1526"/>
    <w:rsid w:val="00F12809"/>
    <w:rsid w:val="00FA4E03"/>
    <w:rsid w:val="00F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4991"/>
  <w15:docId w15:val="{51591D09-292D-4355-BFDE-3E840836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yiv8286483784">
    <w:name w:val="yiv8286483784"/>
    <w:basedOn w:val="DefaultParagraphFont"/>
    <w:rsid w:val="00882872"/>
  </w:style>
  <w:style w:type="paragraph" w:styleId="ListParagraph">
    <w:name w:val="List Paragraph"/>
    <w:basedOn w:val="Normal"/>
    <w:uiPriority w:val="34"/>
    <w:qFormat/>
    <w:rsid w:val="0088287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72EF6"/>
    <w:rPr>
      <w:i/>
      <w:iCs/>
    </w:rPr>
  </w:style>
  <w:style w:type="character" w:styleId="Strong">
    <w:name w:val="Strong"/>
    <w:basedOn w:val="DefaultParagraphFont"/>
    <w:uiPriority w:val="22"/>
    <w:qFormat/>
    <w:rsid w:val="00172E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52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2A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2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2AF"/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936FB7"/>
    <w:rPr>
      <w:rFonts w:ascii="Times New Roman" w:hAnsi="Times New Roman" w:cs="Times New Roman"/>
      <w:lang w:eastAsia="en-GB"/>
    </w:rPr>
  </w:style>
  <w:style w:type="character" w:customStyle="1" w:styleId="cit-print-date">
    <w:name w:val="cit-print-date"/>
    <w:basedOn w:val="DefaultParagraphFont"/>
    <w:rsid w:val="00160F3D"/>
  </w:style>
  <w:style w:type="character" w:customStyle="1" w:styleId="cit-vol">
    <w:name w:val="cit-vol"/>
    <w:basedOn w:val="DefaultParagraphFont"/>
    <w:rsid w:val="00160F3D"/>
  </w:style>
  <w:style w:type="character" w:customStyle="1" w:styleId="cit-sep2">
    <w:name w:val="cit-sep2"/>
    <w:basedOn w:val="DefaultParagraphFont"/>
    <w:rsid w:val="00160F3D"/>
  </w:style>
  <w:style w:type="character" w:customStyle="1" w:styleId="cit-first-page">
    <w:name w:val="cit-first-page"/>
    <w:basedOn w:val="DefaultParagraphFont"/>
    <w:rsid w:val="00160F3D"/>
  </w:style>
  <w:style w:type="character" w:customStyle="1" w:styleId="cit-last-page2">
    <w:name w:val="cit-last-page2"/>
    <w:basedOn w:val="DefaultParagraphFont"/>
    <w:rsid w:val="00160F3D"/>
  </w:style>
  <w:style w:type="character" w:customStyle="1" w:styleId="cit-auth2">
    <w:name w:val="cit-auth2"/>
    <w:basedOn w:val="DefaultParagraphFont"/>
    <w:rsid w:val="00160F3D"/>
  </w:style>
  <w:style w:type="character" w:styleId="HTMLCite">
    <w:name w:val="HTML Cite"/>
    <w:basedOn w:val="DefaultParagraphFont"/>
    <w:uiPriority w:val="99"/>
    <w:semiHidden/>
    <w:unhideWhenUsed/>
    <w:rsid w:val="00160F3D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B94DF9"/>
    <w:rPr>
      <w:rFonts w:cs="Times New Roman"/>
      <w:sz w:val="22"/>
      <w:szCs w:val="22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94DF9"/>
    <w:rPr>
      <w:rFonts w:ascii="Calibri" w:hAnsi="Calibri" w:cs="Times New Roman"/>
      <w:lang w:eastAsia="en-GB"/>
    </w:rPr>
  </w:style>
  <w:style w:type="character" w:customStyle="1" w:styleId="slug-pub-date">
    <w:name w:val="slug-pub-date"/>
    <w:basedOn w:val="DefaultParagraphFont"/>
    <w:rsid w:val="007C1531"/>
  </w:style>
  <w:style w:type="character" w:customStyle="1" w:styleId="slug-vol">
    <w:name w:val="slug-vol"/>
    <w:basedOn w:val="DefaultParagraphFont"/>
    <w:rsid w:val="007C1531"/>
  </w:style>
  <w:style w:type="character" w:customStyle="1" w:styleId="slug-issue">
    <w:name w:val="slug-issue"/>
    <w:basedOn w:val="DefaultParagraphFont"/>
    <w:rsid w:val="007C1531"/>
  </w:style>
  <w:style w:type="character" w:customStyle="1" w:styleId="slug-pages">
    <w:name w:val="slug-pages"/>
    <w:basedOn w:val="DefaultParagraphFont"/>
    <w:rsid w:val="007C1531"/>
  </w:style>
  <w:style w:type="character" w:customStyle="1" w:styleId="bibrecord-highlight-user">
    <w:name w:val="bibrecord-highlight-user"/>
    <w:basedOn w:val="DefaultParagraphFont"/>
    <w:rsid w:val="007C1531"/>
  </w:style>
  <w:style w:type="character" w:customStyle="1" w:styleId="titles-source">
    <w:name w:val="titles-source"/>
    <w:basedOn w:val="DefaultParagraphFont"/>
    <w:rsid w:val="007C1531"/>
  </w:style>
  <w:style w:type="character" w:styleId="Hyperlink">
    <w:name w:val="Hyperlink"/>
    <w:basedOn w:val="DefaultParagraphFont"/>
    <w:uiPriority w:val="99"/>
    <w:unhideWhenUsed/>
    <w:rsid w:val="0089288C"/>
    <w:rPr>
      <w:color w:val="0000FF" w:themeColor="hyperlink"/>
      <w:u w:val="single"/>
    </w:rPr>
  </w:style>
  <w:style w:type="character" w:customStyle="1" w:styleId="selectable">
    <w:name w:val="selectable"/>
    <w:basedOn w:val="DefaultParagraphFont"/>
    <w:rsid w:val="0089288C"/>
  </w:style>
  <w:style w:type="character" w:styleId="FollowedHyperlink">
    <w:name w:val="FollowedHyperlink"/>
    <w:basedOn w:val="DefaultParagraphFont"/>
    <w:uiPriority w:val="99"/>
    <w:semiHidden/>
    <w:unhideWhenUsed/>
    <w:rsid w:val="0089288C"/>
    <w:rPr>
      <w:color w:val="800080" w:themeColor="followedHyperlink"/>
      <w:u w:val="single"/>
    </w:rPr>
  </w:style>
  <w:style w:type="paragraph" w:customStyle="1" w:styleId="Body">
    <w:name w:val="Body"/>
    <w:rsid w:val="003118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numbering" w:customStyle="1" w:styleId="Numbered">
    <w:name w:val="Numbered"/>
    <w:rsid w:val="003118F0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cer.gov/about-cancer/diagnosis-staging/diagnosis/tumor-markers-li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acc.org/-/media/Files/Science-and-Practice/Practice-Guidelines/Tumor-Markers-Quality-Requirements/TumorMarkers_QualityRequirements09.pdf?la=en&amp;hash=ABC1D9C9914407CC35914F344EABCFE7DEAE311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b.org.uk/docs/default-source/guidelines/tumour-marker-guidelines.pdf?sfvrsn=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BD11C-EDD8-449C-8205-B1738AD8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41</cp:revision>
  <cp:lastPrinted>2015-06-09T12:00:00Z</cp:lastPrinted>
  <dcterms:created xsi:type="dcterms:W3CDTF">2016-05-24T12:43:00Z</dcterms:created>
  <dcterms:modified xsi:type="dcterms:W3CDTF">2020-05-20T13:29:00Z</dcterms:modified>
</cp:coreProperties>
</file>