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733C7" w14:textId="5D29891F" w:rsidR="00AC52AF" w:rsidRDefault="006968F3" w:rsidP="006968F3">
      <w:pPr>
        <w:spacing w:after="200" w:line="276" w:lineRule="auto"/>
        <w:jc w:val="center"/>
        <w:rPr>
          <w:b/>
          <w:sz w:val="28"/>
          <w:szCs w:val="28"/>
        </w:rPr>
      </w:pPr>
      <w:r w:rsidRPr="00A107CB">
        <w:rPr>
          <w:noProof/>
        </w:rPr>
        <w:drawing>
          <wp:inline distT="0" distB="0" distL="0" distR="0" wp14:anchorId="6FBA7D0F" wp14:editId="35D2D4C1">
            <wp:extent cx="1933575" cy="153283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44327" cy="1541357"/>
                    </a:xfrm>
                    <a:prstGeom prst="rect">
                      <a:avLst/>
                    </a:prstGeom>
                    <a:noFill/>
                    <a:ln>
                      <a:noFill/>
                    </a:ln>
                  </pic:spPr>
                </pic:pic>
              </a:graphicData>
            </a:graphic>
          </wp:inline>
        </w:drawing>
      </w:r>
    </w:p>
    <w:p w14:paraId="444A1995" w14:textId="45EE497E" w:rsidR="00AC52AF" w:rsidRPr="00AC52AF" w:rsidRDefault="00AC52AF" w:rsidP="00AC52AF">
      <w:pPr>
        <w:autoSpaceDE w:val="0"/>
        <w:autoSpaceDN w:val="0"/>
        <w:adjustRightInd w:val="0"/>
        <w:rPr>
          <w:rFonts w:asciiTheme="majorHAnsi" w:hAnsiTheme="majorHAnsi" w:cs="Arial"/>
          <w:b/>
          <w:color w:val="000000"/>
          <w:sz w:val="28"/>
          <w:szCs w:val="28"/>
          <w:lang w:val="en-US"/>
        </w:rPr>
      </w:pPr>
      <w:r w:rsidRPr="00AC52AF">
        <w:rPr>
          <w:rFonts w:asciiTheme="majorHAnsi" w:hAnsiTheme="majorHAnsi" w:cs="Arial"/>
          <w:b/>
          <w:color w:val="000000"/>
          <w:sz w:val="28"/>
          <w:szCs w:val="28"/>
          <w:lang w:val="en-US"/>
        </w:rPr>
        <w:t>Higher</w:t>
      </w:r>
      <w:r w:rsidR="00B241A4">
        <w:rPr>
          <w:rFonts w:asciiTheme="majorHAnsi" w:hAnsiTheme="majorHAnsi" w:cs="Arial"/>
          <w:b/>
          <w:color w:val="000000"/>
          <w:sz w:val="28"/>
          <w:szCs w:val="28"/>
          <w:lang w:val="en-US"/>
        </w:rPr>
        <w:t xml:space="preserve"> Specialist Diploma - Portfolio Essay Titles for </w:t>
      </w:r>
      <w:r w:rsidRPr="00AC52AF">
        <w:rPr>
          <w:rFonts w:asciiTheme="majorHAnsi" w:hAnsiTheme="majorHAnsi" w:cs="Arial"/>
          <w:b/>
          <w:color w:val="000000"/>
          <w:sz w:val="28"/>
          <w:szCs w:val="28"/>
          <w:lang w:val="en-US"/>
        </w:rPr>
        <w:t>Submission in 20</w:t>
      </w:r>
      <w:r w:rsidR="00567E5E">
        <w:rPr>
          <w:rFonts w:asciiTheme="majorHAnsi" w:hAnsiTheme="majorHAnsi" w:cs="Arial"/>
          <w:b/>
          <w:color w:val="000000"/>
          <w:sz w:val="28"/>
          <w:szCs w:val="28"/>
          <w:lang w:val="en-US"/>
        </w:rPr>
        <w:t>2</w:t>
      </w:r>
      <w:r w:rsidR="00E63730">
        <w:rPr>
          <w:rFonts w:asciiTheme="majorHAnsi" w:hAnsiTheme="majorHAnsi" w:cs="Arial"/>
          <w:b/>
          <w:color w:val="000000"/>
          <w:sz w:val="28"/>
          <w:szCs w:val="28"/>
          <w:lang w:val="en-US"/>
        </w:rPr>
        <w:t>2</w:t>
      </w:r>
    </w:p>
    <w:p w14:paraId="69C43D1F" w14:textId="77777777" w:rsidR="00AC52AF" w:rsidRPr="00EB1526" w:rsidRDefault="00AC52AF" w:rsidP="00AC52AF">
      <w:pPr>
        <w:autoSpaceDE w:val="0"/>
        <w:autoSpaceDN w:val="0"/>
        <w:adjustRightInd w:val="0"/>
        <w:rPr>
          <w:rFonts w:asciiTheme="majorHAnsi" w:hAnsiTheme="majorHAnsi" w:cs="Arial"/>
          <w:b/>
          <w:color w:val="000000"/>
          <w:szCs w:val="28"/>
          <w:lang w:val="en-US"/>
        </w:rPr>
      </w:pPr>
    </w:p>
    <w:p w14:paraId="2869BFDB" w14:textId="77777777" w:rsidR="00AC52AF" w:rsidRPr="00AC52AF" w:rsidRDefault="00AC52AF" w:rsidP="00AC52AF">
      <w:pPr>
        <w:autoSpaceDE w:val="0"/>
        <w:autoSpaceDN w:val="0"/>
        <w:adjustRightInd w:val="0"/>
        <w:rPr>
          <w:rFonts w:asciiTheme="majorHAnsi" w:hAnsiTheme="majorHAnsi" w:cs="Arial"/>
          <w:b/>
          <w:color w:val="000000"/>
          <w:sz w:val="28"/>
          <w:szCs w:val="28"/>
          <w:lang w:val="en-US"/>
        </w:rPr>
      </w:pPr>
      <w:r w:rsidRPr="00AC52AF">
        <w:rPr>
          <w:rFonts w:asciiTheme="majorHAnsi" w:hAnsiTheme="majorHAnsi" w:cs="Arial"/>
          <w:b/>
          <w:color w:val="000000"/>
          <w:sz w:val="28"/>
          <w:szCs w:val="28"/>
          <w:lang w:val="en-US"/>
        </w:rPr>
        <w:t>Regulations</w:t>
      </w:r>
    </w:p>
    <w:p w14:paraId="7BF1F61E" w14:textId="77777777" w:rsidR="00AC52AF" w:rsidRPr="00AC52AF" w:rsidRDefault="00AC52AF" w:rsidP="00AC52AF">
      <w:pPr>
        <w:autoSpaceDE w:val="0"/>
        <w:autoSpaceDN w:val="0"/>
        <w:adjustRightInd w:val="0"/>
        <w:rPr>
          <w:rFonts w:asciiTheme="majorHAnsi" w:hAnsiTheme="majorHAnsi"/>
          <w:b/>
          <w:color w:val="000000"/>
          <w:szCs w:val="22"/>
          <w:lang w:val="en-US"/>
        </w:rPr>
      </w:pPr>
    </w:p>
    <w:p w14:paraId="53FA7E1D" w14:textId="18203E17" w:rsidR="00B355F5" w:rsidRDefault="00AC52AF" w:rsidP="00B355F5">
      <w:pPr>
        <w:numPr>
          <w:ilvl w:val="0"/>
          <w:numId w:val="5"/>
        </w:numPr>
        <w:autoSpaceDE w:val="0"/>
        <w:autoSpaceDN w:val="0"/>
        <w:adjustRightInd w:val="0"/>
        <w:rPr>
          <w:color w:val="000000"/>
          <w:szCs w:val="18"/>
          <w:lang w:val="en-US"/>
        </w:rPr>
      </w:pPr>
      <w:r w:rsidRPr="00AC52AF">
        <w:rPr>
          <w:color w:val="000000"/>
          <w:szCs w:val="18"/>
          <w:lang w:val="en-US"/>
        </w:rPr>
        <w:t>Two essays must be included in the portfolio as evidence of experiential learning.</w:t>
      </w:r>
      <w:r w:rsidR="008B49AE">
        <w:rPr>
          <w:color w:val="000000"/>
          <w:szCs w:val="18"/>
          <w:lang w:val="en-US"/>
        </w:rPr>
        <w:t xml:space="preserve"> </w:t>
      </w:r>
      <w:r w:rsidR="006968F3">
        <w:rPr>
          <w:color w:val="000000"/>
          <w:szCs w:val="18"/>
          <w:lang w:val="en-US"/>
        </w:rPr>
        <w:t>If when you applied to undertake the HSD, you indicated you wanted to submit in 2022 you must</w:t>
      </w:r>
      <w:r w:rsidR="008B49AE">
        <w:rPr>
          <w:color w:val="000000"/>
          <w:szCs w:val="18"/>
          <w:lang w:val="en-US"/>
        </w:rPr>
        <w:t xml:space="preserve"> choose any two essay titles from either the 202</w:t>
      </w:r>
      <w:r w:rsidR="00E63730">
        <w:rPr>
          <w:color w:val="000000"/>
          <w:szCs w:val="18"/>
          <w:lang w:val="en-US"/>
        </w:rPr>
        <w:t>1</w:t>
      </w:r>
      <w:r w:rsidR="008B49AE">
        <w:rPr>
          <w:color w:val="000000"/>
          <w:szCs w:val="18"/>
          <w:lang w:val="en-US"/>
        </w:rPr>
        <w:t xml:space="preserve"> </w:t>
      </w:r>
      <w:r w:rsidR="00C04A56">
        <w:rPr>
          <w:color w:val="000000"/>
          <w:szCs w:val="18"/>
          <w:lang w:val="en-US"/>
        </w:rPr>
        <w:t xml:space="preserve">or </w:t>
      </w:r>
      <w:r w:rsidR="008B49AE">
        <w:rPr>
          <w:color w:val="000000"/>
          <w:szCs w:val="18"/>
          <w:lang w:val="en-US"/>
        </w:rPr>
        <w:t>202</w:t>
      </w:r>
      <w:r w:rsidR="00E63730">
        <w:rPr>
          <w:color w:val="000000"/>
          <w:szCs w:val="18"/>
          <w:lang w:val="en-US"/>
        </w:rPr>
        <w:t>2</w:t>
      </w:r>
      <w:r w:rsidR="008B49AE">
        <w:rPr>
          <w:color w:val="000000"/>
          <w:szCs w:val="18"/>
          <w:lang w:val="en-US"/>
        </w:rPr>
        <w:t xml:space="preserve"> list of essay titles.</w:t>
      </w:r>
      <w:r w:rsidR="00E63730">
        <w:rPr>
          <w:color w:val="000000"/>
          <w:szCs w:val="18"/>
          <w:lang w:val="en-US"/>
        </w:rPr>
        <w:t xml:space="preserve"> If you had initially aimed to submit</w:t>
      </w:r>
      <w:r w:rsidR="006968F3">
        <w:rPr>
          <w:color w:val="000000"/>
          <w:szCs w:val="18"/>
          <w:lang w:val="en-US"/>
        </w:rPr>
        <w:t xml:space="preserve"> in 2021</w:t>
      </w:r>
      <w:r w:rsidR="00E63730">
        <w:rPr>
          <w:color w:val="000000"/>
          <w:szCs w:val="18"/>
          <w:lang w:val="en-US"/>
        </w:rPr>
        <w:t xml:space="preserve"> but</w:t>
      </w:r>
      <w:r w:rsidR="006968F3">
        <w:rPr>
          <w:color w:val="000000"/>
          <w:szCs w:val="18"/>
          <w:lang w:val="en-US"/>
        </w:rPr>
        <w:t xml:space="preserve"> have</w:t>
      </w:r>
      <w:r w:rsidR="00E63730">
        <w:rPr>
          <w:color w:val="000000"/>
          <w:szCs w:val="18"/>
          <w:lang w:val="en-US"/>
        </w:rPr>
        <w:t xml:space="preserve"> had to defer one essay title can come from the 2020 list.</w:t>
      </w:r>
    </w:p>
    <w:p w14:paraId="762701D9" w14:textId="77777777" w:rsidR="00AC52AF" w:rsidRPr="00AC52AF" w:rsidRDefault="00AC52AF" w:rsidP="00AC52AF">
      <w:pPr>
        <w:autoSpaceDE w:val="0"/>
        <w:autoSpaceDN w:val="0"/>
        <w:adjustRightInd w:val="0"/>
        <w:rPr>
          <w:rFonts w:asciiTheme="majorHAnsi" w:hAnsiTheme="majorHAnsi"/>
          <w:color w:val="000000"/>
          <w:szCs w:val="18"/>
          <w:lang w:val="en-US"/>
        </w:rPr>
      </w:pPr>
    </w:p>
    <w:p w14:paraId="5CA6943E" w14:textId="7BA612E5" w:rsidR="00942021" w:rsidRDefault="00AC52AF" w:rsidP="00AC52AF">
      <w:pPr>
        <w:numPr>
          <w:ilvl w:val="0"/>
          <w:numId w:val="5"/>
        </w:numPr>
        <w:autoSpaceDE w:val="0"/>
        <w:autoSpaceDN w:val="0"/>
        <w:adjustRightInd w:val="0"/>
        <w:rPr>
          <w:rFonts w:asciiTheme="majorHAnsi" w:hAnsiTheme="majorHAnsi"/>
          <w:color w:val="000000"/>
          <w:szCs w:val="18"/>
          <w:lang w:val="en-US"/>
        </w:rPr>
      </w:pPr>
      <w:r w:rsidRPr="00AC52AF">
        <w:rPr>
          <w:rFonts w:asciiTheme="majorHAnsi" w:hAnsiTheme="majorHAnsi"/>
          <w:color w:val="000000"/>
          <w:szCs w:val="18"/>
          <w:lang w:val="en-US"/>
        </w:rPr>
        <w:t>Essays should be 3000 words (±10%) with a font size of at least 12 point</w:t>
      </w:r>
      <w:r w:rsidR="00942021">
        <w:rPr>
          <w:rFonts w:asciiTheme="majorHAnsi" w:hAnsiTheme="majorHAnsi"/>
          <w:color w:val="000000"/>
          <w:szCs w:val="18"/>
          <w:lang w:val="en-US"/>
        </w:rPr>
        <w:t>.</w:t>
      </w:r>
      <w:r w:rsidR="006968F3">
        <w:rPr>
          <w:rFonts w:asciiTheme="majorHAnsi" w:hAnsiTheme="majorHAnsi"/>
          <w:color w:val="000000"/>
          <w:szCs w:val="18"/>
          <w:lang w:val="en-US"/>
        </w:rPr>
        <w:t xml:space="preserve"> Figures, tables and their respective legends and the reference list are not included in the word count of the essay</w:t>
      </w:r>
      <w:r w:rsidR="00105A54">
        <w:rPr>
          <w:rFonts w:asciiTheme="majorHAnsi" w:hAnsiTheme="majorHAnsi"/>
          <w:color w:val="000000"/>
          <w:szCs w:val="18"/>
          <w:lang w:val="en-US"/>
        </w:rPr>
        <w:t>.</w:t>
      </w:r>
    </w:p>
    <w:p w14:paraId="7D920728" w14:textId="77777777" w:rsidR="00942021" w:rsidRDefault="00942021" w:rsidP="00942021">
      <w:pPr>
        <w:pStyle w:val="ListParagraph"/>
        <w:rPr>
          <w:rFonts w:asciiTheme="majorHAnsi" w:hAnsiTheme="majorHAnsi"/>
          <w:color w:val="000000"/>
          <w:szCs w:val="18"/>
          <w:lang w:val="en-US"/>
        </w:rPr>
      </w:pPr>
    </w:p>
    <w:p w14:paraId="0419CE3B" w14:textId="51C445D1" w:rsidR="00046815" w:rsidRPr="00046815" w:rsidRDefault="00942021" w:rsidP="00046815">
      <w:pPr>
        <w:numPr>
          <w:ilvl w:val="0"/>
          <w:numId w:val="5"/>
        </w:numPr>
        <w:autoSpaceDE w:val="0"/>
        <w:autoSpaceDN w:val="0"/>
        <w:adjustRightInd w:val="0"/>
        <w:ind w:left="357" w:hanging="357"/>
        <w:rPr>
          <w:rFonts w:asciiTheme="majorHAnsi" w:hAnsiTheme="majorHAnsi"/>
        </w:rPr>
      </w:pPr>
      <w:r>
        <w:rPr>
          <w:rFonts w:asciiTheme="majorHAnsi" w:hAnsiTheme="majorHAnsi"/>
        </w:rPr>
        <w:t xml:space="preserve">Candidates </w:t>
      </w:r>
      <w:r w:rsidR="006968F3">
        <w:rPr>
          <w:rFonts w:asciiTheme="majorHAnsi" w:hAnsiTheme="majorHAnsi"/>
        </w:rPr>
        <w:t>must</w:t>
      </w:r>
      <w:r>
        <w:rPr>
          <w:rFonts w:asciiTheme="majorHAnsi" w:hAnsiTheme="majorHAnsi"/>
        </w:rPr>
        <w:t xml:space="preserve"> use appropriate material from various sources within </w:t>
      </w:r>
      <w:r w:rsidR="006968F3">
        <w:rPr>
          <w:rFonts w:asciiTheme="majorHAnsi" w:hAnsiTheme="majorHAnsi"/>
        </w:rPr>
        <w:t>both essays</w:t>
      </w:r>
      <w:r>
        <w:rPr>
          <w:rFonts w:asciiTheme="majorHAnsi" w:hAnsiTheme="majorHAnsi"/>
        </w:rPr>
        <w:t xml:space="preserve"> </w:t>
      </w:r>
      <w:r w:rsidRPr="00942021">
        <w:rPr>
          <w:rFonts w:asciiTheme="majorHAnsi" w:hAnsiTheme="majorHAnsi"/>
          <w:color w:val="000000"/>
          <w:szCs w:val="18"/>
          <w:lang w:val="en-US"/>
        </w:rPr>
        <w:t xml:space="preserve">and </w:t>
      </w:r>
      <w:r>
        <w:rPr>
          <w:rFonts w:asciiTheme="majorHAnsi" w:hAnsiTheme="majorHAnsi"/>
          <w:color w:val="000000"/>
          <w:szCs w:val="18"/>
          <w:lang w:val="en-US"/>
        </w:rPr>
        <w:t xml:space="preserve">these </w:t>
      </w:r>
      <w:r w:rsidRPr="00942021">
        <w:rPr>
          <w:rFonts w:asciiTheme="majorHAnsi" w:hAnsiTheme="majorHAnsi"/>
          <w:color w:val="000000"/>
          <w:szCs w:val="18"/>
          <w:lang w:val="en-US"/>
        </w:rPr>
        <w:t xml:space="preserve">must be referenced in either the Harvard </w:t>
      </w:r>
      <w:r w:rsidRPr="00942021">
        <w:rPr>
          <w:rFonts w:asciiTheme="majorHAnsi" w:hAnsiTheme="majorHAnsi"/>
          <w:b/>
          <w:bCs/>
          <w:color w:val="000000"/>
          <w:szCs w:val="18"/>
          <w:u w:val="single"/>
          <w:lang w:val="en-US"/>
        </w:rPr>
        <w:t>or</w:t>
      </w:r>
      <w:r w:rsidRPr="00942021">
        <w:rPr>
          <w:rFonts w:asciiTheme="majorHAnsi" w:hAnsiTheme="majorHAnsi"/>
          <w:color w:val="000000"/>
          <w:szCs w:val="18"/>
          <w:lang w:val="en-US"/>
        </w:rPr>
        <w:t xml:space="preserve"> Vancouver format.</w:t>
      </w:r>
      <w:r w:rsidR="00046815">
        <w:rPr>
          <w:rFonts w:asciiTheme="majorHAnsi" w:hAnsiTheme="majorHAnsi"/>
          <w:color w:val="000000"/>
          <w:szCs w:val="18"/>
          <w:lang w:val="en-US"/>
        </w:rPr>
        <w:t xml:space="preserve"> Guidance on how to reference in either format can be found on the IBMS website here:</w:t>
      </w:r>
    </w:p>
    <w:p w14:paraId="77DD6933" w14:textId="02EDF05E" w:rsidR="00046815" w:rsidRPr="00942021" w:rsidRDefault="006E6181" w:rsidP="00046815">
      <w:pPr>
        <w:autoSpaceDE w:val="0"/>
        <w:autoSpaceDN w:val="0"/>
        <w:adjustRightInd w:val="0"/>
        <w:ind w:left="357"/>
        <w:rPr>
          <w:rFonts w:asciiTheme="majorHAnsi" w:hAnsiTheme="majorHAnsi"/>
        </w:rPr>
      </w:pPr>
      <w:hyperlink r:id="rId9" w:history="1">
        <w:r w:rsidR="00046815" w:rsidRPr="007A6B1F">
          <w:rPr>
            <w:rStyle w:val="Hyperlink"/>
            <w:rFonts w:asciiTheme="majorHAnsi" w:hAnsiTheme="majorHAnsi"/>
          </w:rPr>
          <w:t>https://www.ibms.org/education/ibms-qualifications-resources/</w:t>
        </w:r>
      </w:hyperlink>
      <w:r w:rsidR="00046815">
        <w:rPr>
          <w:rFonts w:asciiTheme="majorHAnsi" w:hAnsiTheme="majorHAnsi"/>
        </w:rPr>
        <w:t xml:space="preserve"> </w:t>
      </w:r>
    </w:p>
    <w:p w14:paraId="0CF43689" w14:textId="77777777" w:rsidR="00AC52AF" w:rsidRPr="00AC52AF" w:rsidRDefault="00AC52AF" w:rsidP="00AC52AF">
      <w:pPr>
        <w:autoSpaceDE w:val="0"/>
        <w:autoSpaceDN w:val="0"/>
        <w:adjustRightInd w:val="0"/>
        <w:rPr>
          <w:rFonts w:asciiTheme="majorHAnsi" w:hAnsiTheme="majorHAnsi"/>
          <w:color w:val="000000"/>
          <w:szCs w:val="18"/>
          <w:lang w:val="en-US"/>
        </w:rPr>
      </w:pPr>
    </w:p>
    <w:p w14:paraId="61CE3457" w14:textId="04FEBCE2" w:rsidR="00942021" w:rsidRPr="00942021" w:rsidRDefault="00942021" w:rsidP="00144E76">
      <w:pPr>
        <w:numPr>
          <w:ilvl w:val="0"/>
          <w:numId w:val="5"/>
        </w:numPr>
        <w:autoSpaceDE w:val="0"/>
        <w:autoSpaceDN w:val="0"/>
        <w:adjustRightInd w:val="0"/>
        <w:rPr>
          <w:rFonts w:asciiTheme="majorHAnsi" w:hAnsiTheme="majorHAnsi"/>
          <w:color w:val="000000"/>
          <w:szCs w:val="18"/>
          <w:lang w:val="en-US"/>
        </w:rPr>
      </w:pPr>
      <w:r>
        <w:rPr>
          <w:rFonts w:asciiTheme="majorHAnsi" w:hAnsiTheme="majorHAnsi"/>
          <w:color w:val="000000"/>
          <w:szCs w:val="18"/>
          <w:lang w:val="en-US"/>
        </w:rPr>
        <w:t>Candidates should</w:t>
      </w:r>
      <w:r w:rsidR="00F12809" w:rsidRPr="008B49AE">
        <w:rPr>
          <w:rFonts w:asciiTheme="majorHAnsi" w:hAnsiTheme="majorHAnsi"/>
          <w:color w:val="000000"/>
          <w:szCs w:val="18"/>
          <w:lang w:val="en-US"/>
        </w:rPr>
        <w:t xml:space="preserve"> note that </w:t>
      </w:r>
      <w:r w:rsidR="006968F3">
        <w:rPr>
          <w:rFonts w:asciiTheme="majorHAnsi" w:hAnsiTheme="majorHAnsi"/>
          <w:color w:val="000000"/>
          <w:szCs w:val="18"/>
          <w:lang w:val="en-US"/>
        </w:rPr>
        <w:t xml:space="preserve">the </w:t>
      </w:r>
      <w:r w:rsidR="00F12809" w:rsidRPr="008B49AE">
        <w:rPr>
          <w:rFonts w:asciiTheme="majorHAnsi" w:hAnsiTheme="majorHAnsi"/>
          <w:color w:val="000000"/>
          <w:szCs w:val="18"/>
          <w:lang w:val="en-US"/>
        </w:rPr>
        <w:t xml:space="preserve">essays will be entered into </w:t>
      </w:r>
      <w:r w:rsidR="008B49AE" w:rsidRPr="008B49AE">
        <w:rPr>
          <w:rFonts w:asciiTheme="majorHAnsi" w:hAnsiTheme="majorHAnsi"/>
          <w:color w:val="000000"/>
          <w:szCs w:val="18"/>
          <w:lang w:val="en-US"/>
        </w:rPr>
        <w:t>the originality checking</w:t>
      </w:r>
      <w:r w:rsidR="00704402" w:rsidRPr="008B49AE">
        <w:rPr>
          <w:rFonts w:asciiTheme="majorHAnsi" w:hAnsiTheme="majorHAnsi"/>
          <w:color w:val="000000"/>
          <w:szCs w:val="18"/>
          <w:lang w:val="en-US"/>
        </w:rPr>
        <w:t xml:space="preserve"> software system </w:t>
      </w:r>
      <w:r w:rsidR="008B49AE" w:rsidRPr="008B49AE">
        <w:rPr>
          <w:rFonts w:asciiTheme="majorHAnsi" w:hAnsiTheme="majorHAnsi"/>
          <w:color w:val="000000"/>
          <w:szCs w:val="18"/>
          <w:lang w:val="en-US"/>
        </w:rPr>
        <w:t xml:space="preserve">called Turnitin. </w:t>
      </w:r>
      <w:r w:rsidR="008B49AE" w:rsidRPr="00F20B02">
        <w:t xml:space="preserve">This software produces a report that highlights not only how much text is similar to other sources but also where this material is located. </w:t>
      </w:r>
    </w:p>
    <w:p w14:paraId="3EBAE245" w14:textId="77777777" w:rsidR="00942021" w:rsidRDefault="00942021" w:rsidP="00942021">
      <w:pPr>
        <w:pStyle w:val="ListParagraph"/>
      </w:pPr>
    </w:p>
    <w:p w14:paraId="59BE293D" w14:textId="6856E5F1" w:rsidR="00942021" w:rsidRDefault="008B49AE" w:rsidP="00942021">
      <w:pPr>
        <w:autoSpaceDE w:val="0"/>
        <w:autoSpaceDN w:val="0"/>
        <w:adjustRightInd w:val="0"/>
        <w:ind w:left="360"/>
        <w:rPr>
          <w:rFonts w:asciiTheme="majorHAnsi" w:hAnsiTheme="majorHAnsi" w:cs="Arial"/>
          <w:b/>
          <w:color w:val="000000"/>
          <w:sz w:val="28"/>
          <w:szCs w:val="28"/>
        </w:rPr>
      </w:pPr>
      <w:r>
        <w:t xml:space="preserve">The </w:t>
      </w:r>
      <w:r w:rsidRPr="00F20B02">
        <w:t>similarity score</w:t>
      </w:r>
      <w:r>
        <w:t xml:space="preserve"> that is produced as part of its </w:t>
      </w:r>
      <w:r w:rsidR="00942021">
        <w:t xml:space="preserve">Turnitin </w:t>
      </w:r>
      <w:r>
        <w:t>report requires the academic judgement of the examiners and the IBMS Head of Examinations to interpret whether this necessitates a</w:t>
      </w:r>
      <w:r w:rsidR="00942021">
        <w:t>ny a</w:t>
      </w:r>
      <w:r>
        <w:t>ction.</w:t>
      </w:r>
      <w:r w:rsidR="00440CA4">
        <w:t xml:space="preserve"> Where plagiarism is detected, or if the similarity score is unacceptably high, it will be treated as academic malpractice and may have serious consequences</w:t>
      </w:r>
      <w:r w:rsidR="003118F0">
        <w:t>. This could include the failure of the portfolio</w:t>
      </w:r>
      <w:r w:rsidR="00046815">
        <w:t>.</w:t>
      </w:r>
    </w:p>
    <w:p w14:paraId="270C4BC7" w14:textId="77777777" w:rsidR="00942021" w:rsidRDefault="00942021" w:rsidP="00942021">
      <w:pPr>
        <w:autoSpaceDE w:val="0"/>
        <w:autoSpaceDN w:val="0"/>
        <w:adjustRightInd w:val="0"/>
        <w:ind w:left="360"/>
        <w:rPr>
          <w:rFonts w:asciiTheme="majorHAnsi" w:hAnsiTheme="majorHAnsi" w:cs="Arial"/>
          <w:b/>
          <w:color w:val="000000"/>
          <w:sz w:val="28"/>
          <w:szCs w:val="28"/>
        </w:rPr>
      </w:pPr>
    </w:p>
    <w:p w14:paraId="3D270094" w14:textId="1DC3DAA6" w:rsidR="00AC52AF" w:rsidRDefault="00B241A4" w:rsidP="00942021">
      <w:pPr>
        <w:autoSpaceDE w:val="0"/>
        <w:autoSpaceDN w:val="0"/>
        <w:adjustRightInd w:val="0"/>
        <w:rPr>
          <w:rFonts w:asciiTheme="majorHAnsi" w:hAnsiTheme="majorHAnsi" w:cs="Arial"/>
          <w:b/>
          <w:color w:val="000000"/>
          <w:sz w:val="28"/>
          <w:szCs w:val="28"/>
        </w:rPr>
      </w:pPr>
      <w:r>
        <w:rPr>
          <w:rFonts w:asciiTheme="majorHAnsi" w:hAnsiTheme="majorHAnsi" w:cs="Arial"/>
          <w:b/>
          <w:color w:val="000000"/>
          <w:sz w:val="28"/>
          <w:szCs w:val="28"/>
        </w:rPr>
        <w:t>Important Points to Remember</w:t>
      </w:r>
    </w:p>
    <w:p w14:paraId="1C4DF03B" w14:textId="30A6414F" w:rsidR="00AC52AF" w:rsidRPr="00942021" w:rsidRDefault="00942021" w:rsidP="00942021">
      <w:pPr>
        <w:autoSpaceDE w:val="0"/>
        <w:autoSpaceDN w:val="0"/>
        <w:adjustRightInd w:val="0"/>
        <w:rPr>
          <w:bCs/>
          <w:color w:val="000000"/>
          <w:lang w:val="en-US"/>
        </w:rPr>
      </w:pPr>
      <w:r w:rsidRPr="00942021">
        <w:rPr>
          <w:rFonts w:asciiTheme="majorHAnsi" w:hAnsiTheme="majorHAnsi" w:cs="Arial"/>
          <w:bCs/>
          <w:color w:val="000000"/>
        </w:rPr>
        <w:t>T</w:t>
      </w:r>
      <w:r w:rsidRPr="00942021">
        <w:rPr>
          <w:rFonts w:asciiTheme="majorHAnsi" w:hAnsiTheme="majorHAnsi"/>
          <w:bCs/>
          <w:lang w:val="en-US"/>
        </w:rPr>
        <w:t>he completion of the two essays forms parts of the portfolio requirements for the HSD. These essay</w:t>
      </w:r>
      <w:r>
        <w:rPr>
          <w:rFonts w:asciiTheme="majorHAnsi" w:hAnsiTheme="majorHAnsi"/>
          <w:bCs/>
          <w:lang w:val="en-US"/>
        </w:rPr>
        <w:t>s</w:t>
      </w:r>
      <w:r w:rsidRPr="00942021">
        <w:rPr>
          <w:rFonts w:asciiTheme="majorHAnsi" w:hAnsiTheme="majorHAnsi"/>
          <w:bCs/>
          <w:lang w:val="en-US"/>
        </w:rPr>
        <w:t xml:space="preserve"> help candidates to demonstrate to the examiners that they have a </w:t>
      </w:r>
      <w:r w:rsidRPr="00942021">
        <w:rPr>
          <w:rFonts w:eastAsia="Times New Roman"/>
          <w:bCs/>
        </w:rPr>
        <w:t>comprehensive understanding of a specific field of biomedical science and knowledge and understanding of current issues and developments which are key learning outcomes of the HSD.</w:t>
      </w:r>
      <w:r>
        <w:rPr>
          <w:bCs/>
          <w:color w:val="000000"/>
          <w:lang w:val="en-US"/>
        </w:rPr>
        <w:t xml:space="preserve"> </w:t>
      </w:r>
      <w:r w:rsidR="00046815">
        <w:rPr>
          <w:bCs/>
          <w:color w:val="000000"/>
          <w:lang w:val="en-US"/>
        </w:rPr>
        <w:t xml:space="preserve"> </w:t>
      </w:r>
      <w:r w:rsidR="00AC52AF" w:rsidRPr="00AC52AF">
        <w:rPr>
          <w:rFonts w:asciiTheme="majorHAnsi" w:eastAsia="Calibri" w:hAnsiTheme="majorHAnsi" w:cs="Times New Roman"/>
          <w:bCs/>
          <w:color w:val="000000"/>
          <w:szCs w:val="12"/>
        </w:rPr>
        <w:t>At this level, you should be able to demonstrate:</w:t>
      </w:r>
    </w:p>
    <w:p w14:paraId="7505BF54" w14:textId="77777777" w:rsidR="00AC52AF" w:rsidRPr="00AC52AF" w:rsidRDefault="00AC52AF" w:rsidP="00AC52AF">
      <w:pPr>
        <w:numPr>
          <w:ilvl w:val="0"/>
          <w:numId w:val="8"/>
        </w:numPr>
        <w:autoSpaceDE w:val="0"/>
        <w:autoSpaceDN w:val="0"/>
        <w:adjustRightInd w:val="0"/>
        <w:rPr>
          <w:rFonts w:asciiTheme="majorHAnsi" w:eastAsia="Calibri" w:hAnsiTheme="majorHAnsi" w:cs="Times New Roman"/>
          <w:bCs/>
          <w:color w:val="000000"/>
        </w:rPr>
      </w:pPr>
      <w:r w:rsidRPr="00AC52AF">
        <w:rPr>
          <w:rFonts w:asciiTheme="majorHAnsi" w:eastAsia="Calibri" w:hAnsiTheme="majorHAnsi" w:cs="Times New Roman"/>
          <w:bCs/>
          <w:color w:val="000000"/>
          <w:szCs w:val="12"/>
        </w:rPr>
        <w:t>a systematic understanding of knowledge and a critical awareness of current problems, much of which is at, or informed by, work at the forefront of the academic discipline</w:t>
      </w:r>
    </w:p>
    <w:p w14:paraId="7889E6AF" w14:textId="77777777" w:rsidR="00AC52AF" w:rsidRPr="00AC52AF" w:rsidRDefault="00AC52AF" w:rsidP="00AC52AF">
      <w:pPr>
        <w:numPr>
          <w:ilvl w:val="0"/>
          <w:numId w:val="8"/>
        </w:numPr>
        <w:autoSpaceDE w:val="0"/>
        <w:autoSpaceDN w:val="0"/>
        <w:adjustRightInd w:val="0"/>
        <w:rPr>
          <w:rFonts w:asciiTheme="majorHAnsi" w:eastAsia="Calibri" w:hAnsiTheme="majorHAnsi" w:cs="Times New Roman"/>
          <w:bCs/>
          <w:color w:val="000000"/>
        </w:rPr>
      </w:pPr>
      <w:r w:rsidRPr="00AC52AF">
        <w:rPr>
          <w:rFonts w:asciiTheme="majorHAnsi" w:eastAsia="Calibri" w:hAnsiTheme="majorHAnsi" w:cs="Times New Roman"/>
          <w:bCs/>
          <w:color w:val="000000"/>
          <w:szCs w:val="12"/>
        </w:rPr>
        <w:lastRenderedPageBreak/>
        <w:t>a comprehensive understanding of techniques applicable to their own research</w:t>
      </w:r>
    </w:p>
    <w:p w14:paraId="5D63BA70" w14:textId="77777777" w:rsidR="00AC52AF" w:rsidRPr="00AC52AF" w:rsidRDefault="00AC52AF" w:rsidP="00AC52AF">
      <w:pPr>
        <w:numPr>
          <w:ilvl w:val="0"/>
          <w:numId w:val="8"/>
        </w:numPr>
        <w:autoSpaceDE w:val="0"/>
        <w:autoSpaceDN w:val="0"/>
        <w:adjustRightInd w:val="0"/>
        <w:rPr>
          <w:rFonts w:asciiTheme="majorHAnsi" w:eastAsia="Calibri" w:hAnsiTheme="majorHAnsi" w:cs="Times New Roman"/>
          <w:bCs/>
          <w:color w:val="000000"/>
        </w:rPr>
      </w:pPr>
      <w:r w:rsidRPr="00AC52AF">
        <w:rPr>
          <w:rFonts w:asciiTheme="majorHAnsi" w:eastAsia="Calibri" w:hAnsiTheme="majorHAnsi" w:cs="Times New Roman"/>
          <w:bCs/>
          <w:color w:val="000000"/>
          <w:szCs w:val="12"/>
        </w:rPr>
        <w:t>originality in the application of knowledge</w:t>
      </w:r>
    </w:p>
    <w:p w14:paraId="55F4460F" w14:textId="77777777" w:rsidR="00AC52AF" w:rsidRPr="00AC52AF" w:rsidRDefault="00AC52AF" w:rsidP="00AC52AF">
      <w:pPr>
        <w:numPr>
          <w:ilvl w:val="0"/>
          <w:numId w:val="8"/>
        </w:numPr>
        <w:autoSpaceDE w:val="0"/>
        <w:autoSpaceDN w:val="0"/>
        <w:adjustRightInd w:val="0"/>
        <w:rPr>
          <w:rFonts w:asciiTheme="majorHAnsi" w:eastAsia="Calibri" w:hAnsiTheme="majorHAnsi" w:cs="Times New Roman"/>
          <w:bCs/>
          <w:color w:val="000000"/>
        </w:rPr>
      </w:pPr>
      <w:r w:rsidRPr="00AC52AF">
        <w:rPr>
          <w:rFonts w:asciiTheme="majorHAnsi" w:eastAsia="Calibri" w:hAnsiTheme="majorHAnsi" w:cs="Times New Roman"/>
          <w:bCs/>
          <w:color w:val="000000"/>
          <w:szCs w:val="12"/>
        </w:rPr>
        <w:t>a conceptual understanding that enables critical evaluation of current research in their discipline</w:t>
      </w:r>
    </w:p>
    <w:p w14:paraId="17309275" w14:textId="77777777" w:rsidR="00AC52AF" w:rsidRPr="00AC52AF" w:rsidRDefault="00AC52AF" w:rsidP="00AC52AF">
      <w:pPr>
        <w:tabs>
          <w:tab w:val="left" w:pos="0"/>
        </w:tabs>
        <w:ind w:left="1440" w:hanging="1440"/>
        <w:rPr>
          <w:rFonts w:asciiTheme="majorHAnsi" w:eastAsia="Calibri" w:hAnsiTheme="majorHAnsi" w:cs="Arial"/>
          <w:bCs/>
          <w:color w:val="000000"/>
          <w:sz w:val="20"/>
          <w:szCs w:val="20"/>
        </w:rPr>
      </w:pPr>
    </w:p>
    <w:p w14:paraId="3D6F4049" w14:textId="7ABEF355" w:rsidR="00AC52AF" w:rsidRPr="00AC52AF" w:rsidRDefault="00AC52AF" w:rsidP="00813503">
      <w:pPr>
        <w:rPr>
          <w:rFonts w:asciiTheme="majorHAnsi" w:eastAsia="Calibri" w:hAnsiTheme="majorHAnsi" w:cs="Times New Roman"/>
          <w:bCs/>
          <w:color w:val="000000"/>
        </w:rPr>
      </w:pPr>
      <w:r w:rsidRPr="00AC52AF">
        <w:rPr>
          <w:rFonts w:asciiTheme="majorHAnsi" w:eastAsia="Calibri" w:hAnsiTheme="majorHAnsi" w:cs="Times New Roman"/>
          <w:bCs/>
          <w:color w:val="000000"/>
        </w:rPr>
        <w:t>In constructing your essay</w:t>
      </w:r>
      <w:r w:rsidR="00942021">
        <w:rPr>
          <w:rFonts w:asciiTheme="majorHAnsi" w:eastAsia="Calibri" w:hAnsiTheme="majorHAnsi" w:cs="Times New Roman"/>
          <w:bCs/>
          <w:color w:val="000000"/>
        </w:rPr>
        <w:t>s</w:t>
      </w:r>
      <w:r w:rsidRPr="00AC52AF">
        <w:rPr>
          <w:rFonts w:asciiTheme="majorHAnsi" w:eastAsia="Calibri" w:hAnsiTheme="majorHAnsi" w:cs="Times New Roman"/>
          <w:bCs/>
          <w:color w:val="000000"/>
        </w:rPr>
        <w:t xml:space="preserve"> you should:</w:t>
      </w:r>
    </w:p>
    <w:p w14:paraId="700209AE" w14:textId="77777777" w:rsidR="00AC52AF" w:rsidRPr="00AC52AF" w:rsidRDefault="00AC52AF" w:rsidP="00AC52AF">
      <w:pPr>
        <w:numPr>
          <w:ilvl w:val="0"/>
          <w:numId w:val="7"/>
        </w:numPr>
        <w:rPr>
          <w:rFonts w:asciiTheme="majorHAnsi" w:hAnsiTheme="majorHAnsi"/>
          <w:bCs/>
          <w:iCs/>
          <w:color w:val="000000"/>
        </w:rPr>
      </w:pPr>
      <w:r w:rsidRPr="00AC52AF">
        <w:rPr>
          <w:rFonts w:asciiTheme="majorHAnsi" w:hAnsiTheme="majorHAnsi"/>
          <w:bCs/>
          <w:iCs/>
          <w:color w:val="000000"/>
        </w:rPr>
        <w:t>critically evaluate/discuss</w:t>
      </w:r>
    </w:p>
    <w:p w14:paraId="193A5E43" w14:textId="77777777" w:rsidR="00AC52AF" w:rsidRPr="00AC52AF" w:rsidRDefault="00AC52AF" w:rsidP="00AC52AF">
      <w:pPr>
        <w:numPr>
          <w:ilvl w:val="0"/>
          <w:numId w:val="7"/>
        </w:numPr>
        <w:rPr>
          <w:rFonts w:asciiTheme="majorHAnsi" w:hAnsiTheme="majorHAnsi"/>
          <w:bCs/>
          <w:iCs/>
          <w:color w:val="000000"/>
        </w:rPr>
      </w:pPr>
      <w:r w:rsidRPr="00AC52AF">
        <w:rPr>
          <w:rFonts w:asciiTheme="majorHAnsi" w:hAnsiTheme="majorHAnsi"/>
          <w:bCs/>
          <w:iCs/>
          <w:color w:val="000000"/>
        </w:rPr>
        <w:t>judge the relevance and significance of information</w:t>
      </w:r>
    </w:p>
    <w:p w14:paraId="6F3EE22A" w14:textId="77777777" w:rsidR="00AC52AF" w:rsidRPr="00AC52AF" w:rsidRDefault="00AC52AF" w:rsidP="00AC52AF">
      <w:pPr>
        <w:numPr>
          <w:ilvl w:val="0"/>
          <w:numId w:val="7"/>
        </w:numPr>
        <w:rPr>
          <w:rFonts w:asciiTheme="majorHAnsi" w:hAnsiTheme="majorHAnsi"/>
          <w:bCs/>
          <w:iCs/>
          <w:color w:val="000000"/>
        </w:rPr>
      </w:pPr>
      <w:r w:rsidRPr="00AC52AF">
        <w:rPr>
          <w:rFonts w:asciiTheme="majorHAnsi" w:hAnsiTheme="majorHAnsi"/>
          <w:bCs/>
          <w:iCs/>
          <w:color w:val="000000"/>
        </w:rPr>
        <w:t>evaluate claims, inferences, arguments and explanations</w:t>
      </w:r>
    </w:p>
    <w:p w14:paraId="5A775D71" w14:textId="77777777" w:rsidR="00AC52AF" w:rsidRPr="00AC52AF" w:rsidRDefault="00AC52AF" w:rsidP="00AC52AF">
      <w:pPr>
        <w:numPr>
          <w:ilvl w:val="0"/>
          <w:numId w:val="7"/>
        </w:numPr>
        <w:rPr>
          <w:rFonts w:asciiTheme="majorHAnsi" w:hAnsiTheme="majorHAnsi"/>
          <w:bCs/>
          <w:iCs/>
          <w:color w:val="000000"/>
        </w:rPr>
      </w:pPr>
      <w:r w:rsidRPr="00AC52AF">
        <w:rPr>
          <w:rFonts w:asciiTheme="majorHAnsi" w:hAnsiTheme="majorHAnsi"/>
          <w:bCs/>
          <w:iCs/>
          <w:color w:val="000000"/>
        </w:rPr>
        <w:t>construct clear and coherent arguments</w:t>
      </w:r>
    </w:p>
    <w:p w14:paraId="30489F61" w14:textId="77777777" w:rsidR="00AC52AF" w:rsidRPr="00AC52AF" w:rsidRDefault="00AC52AF" w:rsidP="00AC52AF">
      <w:pPr>
        <w:numPr>
          <w:ilvl w:val="0"/>
          <w:numId w:val="7"/>
        </w:numPr>
        <w:rPr>
          <w:rFonts w:asciiTheme="majorHAnsi" w:hAnsiTheme="majorHAnsi"/>
          <w:bCs/>
          <w:iCs/>
          <w:color w:val="000000"/>
        </w:rPr>
      </w:pPr>
      <w:r w:rsidRPr="00AC52AF">
        <w:rPr>
          <w:rFonts w:asciiTheme="majorHAnsi" w:hAnsiTheme="majorHAnsi"/>
          <w:bCs/>
          <w:iCs/>
          <w:color w:val="000000"/>
        </w:rPr>
        <w:t>form well-reasoned judgements and decisions</w:t>
      </w:r>
    </w:p>
    <w:p w14:paraId="6D171238" w14:textId="77777777" w:rsidR="00AC52AF" w:rsidRPr="00AC52AF" w:rsidRDefault="00AC52AF" w:rsidP="00AC52AF">
      <w:pPr>
        <w:numPr>
          <w:ilvl w:val="0"/>
          <w:numId w:val="7"/>
        </w:numPr>
        <w:rPr>
          <w:rFonts w:asciiTheme="majorHAnsi" w:hAnsiTheme="majorHAnsi"/>
          <w:bCs/>
          <w:iCs/>
          <w:color w:val="000000"/>
        </w:rPr>
      </w:pPr>
      <w:r w:rsidRPr="00AC52AF">
        <w:rPr>
          <w:rFonts w:asciiTheme="majorHAnsi" w:hAnsiTheme="majorHAnsi"/>
          <w:bCs/>
          <w:iCs/>
          <w:color w:val="000000"/>
        </w:rPr>
        <w:t>integrate and appraise reading and research</w:t>
      </w:r>
    </w:p>
    <w:p w14:paraId="3A2699A0" w14:textId="415E0DA3" w:rsidR="00AC52AF" w:rsidRPr="00B355F5" w:rsidRDefault="00AC52AF" w:rsidP="00AC52AF">
      <w:pPr>
        <w:numPr>
          <w:ilvl w:val="0"/>
          <w:numId w:val="7"/>
        </w:numPr>
        <w:rPr>
          <w:bCs/>
          <w:iCs/>
          <w:color w:val="000000"/>
        </w:rPr>
      </w:pPr>
      <w:r w:rsidRPr="00AC52AF">
        <w:rPr>
          <w:bCs/>
          <w:iCs/>
          <w:color w:val="000000"/>
        </w:rPr>
        <w:t>be original in your application of knowledge</w:t>
      </w:r>
    </w:p>
    <w:p w14:paraId="75E07420" w14:textId="77777777" w:rsidR="00AC52AF" w:rsidRPr="00AC52AF" w:rsidRDefault="00AC52AF" w:rsidP="00AC52AF">
      <w:pPr>
        <w:rPr>
          <w:b/>
          <w:u w:val="single"/>
        </w:rPr>
      </w:pPr>
    </w:p>
    <w:p w14:paraId="3ED3EA22" w14:textId="77777777" w:rsidR="00AC52AF" w:rsidRPr="00AC52AF" w:rsidRDefault="00AC52AF" w:rsidP="00AC52AF">
      <w:pPr>
        <w:rPr>
          <w:b/>
          <w:u w:val="single"/>
        </w:rPr>
      </w:pPr>
    </w:p>
    <w:p w14:paraId="7892CE81" w14:textId="041ECA69" w:rsidR="00A34F5A" w:rsidRPr="00071A6B" w:rsidRDefault="00882872">
      <w:pPr>
        <w:rPr>
          <w:b/>
          <w:sz w:val="28"/>
          <w:szCs w:val="28"/>
        </w:rPr>
      </w:pPr>
      <w:r w:rsidRPr="00882872">
        <w:rPr>
          <w:b/>
          <w:sz w:val="28"/>
          <w:szCs w:val="28"/>
        </w:rPr>
        <w:t>HSD Essay Titles for 20</w:t>
      </w:r>
      <w:r w:rsidR="00793FD5">
        <w:rPr>
          <w:b/>
          <w:sz w:val="28"/>
          <w:szCs w:val="28"/>
        </w:rPr>
        <w:t>2</w:t>
      </w:r>
      <w:r w:rsidR="006E6181">
        <w:rPr>
          <w:b/>
          <w:sz w:val="28"/>
          <w:szCs w:val="28"/>
        </w:rPr>
        <w:t>2</w:t>
      </w:r>
    </w:p>
    <w:p w14:paraId="66EA993D" w14:textId="77777777" w:rsidR="00942021" w:rsidRPr="00A34F5A" w:rsidRDefault="00942021">
      <w:pPr>
        <w:rPr>
          <w:rFonts w:asciiTheme="majorHAnsi" w:hAnsiTheme="majorHAnsi"/>
          <w:b/>
        </w:rPr>
      </w:pPr>
    </w:p>
    <w:p w14:paraId="33092539" w14:textId="77777777" w:rsidR="000B7BC5" w:rsidRPr="00B241A4" w:rsidRDefault="009C6732" w:rsidP="00DC6E18">
      <w:pPr>
        <w:rPr>
          <w:rFonts w:asciiTheme="majorHAnsi" w:hAnsiTheme="majorHAnsi"/>
          <w:b/>
          <w:sz w:val="28"/>
        </w:rPr>
      </w:pPr>
      <w:r w:rsidRPr="001063E5">
        <w:rPr>
          <w:rFonts w:asciiTheme="majorHAnsi" w:hAnsiTheme="majorHAnsi"/>
          <w:b/>
          <w:sz w:val="28"/>
        </w:rPr>
        <w:t>Cellular Pathology</w:t>
      </w:r>
    </w:p>
    <w:p w14:paraId="4FE3B261" w14:textId="00C1DC50" w:rsidR="00E63730" w:rsidRPr="006968F3" w:rsidRDefault="00E63730" w:rsidP="00E63730">
      <w:r w:rsidRPr="006968F3">
        <w:t>Critically appraise the role of infectious agent demonstrations in cancer diagnosis.</w:t>
      </w:r>
    </w:p>
    <w:p w14:paraId="6D3F1BFC" w14:textId="77777777" w:rsidR="00E63730" w:rsidRPr="006968F3" w:rsidRDefault="00E63730" w:rsidP="00E63730"/>
    <w:p w14:paraId="29219034" w14:textId="282D92F3" w:rsidR="00E63730" w:rsidRPr="006968F3" w:rsidRDefault="00E63730" w:rsidP="00E63730">
      <w:r w:rsidRPr="006968F3">
        <w:t>Discuss and debate the role of the modern-day histopathology laboratory in the study of liver disease.</w:t>
      </w:r>
    </w:p>
    <w:p w14:paraId="68390085" w14:textId="790FE8CC" w:rsidR="00A34F5A" w:rsidRDefault="00A34F5A" w:rsidP="0089288C">
      <w:pPr>
        <w:rPr>
          <w:rFonts w:asciiTheme="majorHAnsi" w:hAnsiTheme="majorHAnsi"/>
          <w:b/>
        </w:rPr>
      </w:pPr>
    </w:p>
    <w:p w14:paraId="19ED75E4" w14:textId="77777777" w:rsidR="00942021" w:rsidRPr="00A34F5A" w:rsidRDefault="00942021" w:rsidP="0089288C">
      <w:pPr>
        <w:rPr>
          <w:rFonts w:asciiTheme="majorHAnsi" w:hAnsiTheme="majorHAnsi"/>
          <w:b/>
        </w:rPr>
      </w:pPr>
    </w:p>
    <w:p w14:paraId="7910D746" w14:textId="503DFB7C" w:rsidR="00DC6E18" w:rsidRPr="00B355F5" w:rsidRDefault="009C6732" w:rsidP="00DC6E18">
      <w:pPr>
        <w:rPr>
          <w:rFonts w:asciiTheme="majorHAnsi" w:hAnsiTheme="majorHAnsi"/>
          <w:b/>
          <w:sz w:val="28"/>
        </w:rPr>
      </w:pPr>
      <w:r w:rsidRPr="001063E5">
        <w:rPr>
          <w:rFonts w:asciiTheme="majorHAnsi" w:hAnsiTheme="majorHAnsi"/>
          <w:b/>
          <w:sz w:val="28"/>
        </w:rPr>
        <w:t>Clinical Chemistry</w:t>
      </w:r>
    </w:p>
    <w:p w14:paraId="3FF0D00D" w14:textId="77777777" w:rsidR="00E63730" w:rsidRPr="006968F3" w:rsidRDefault="00E63730" w:rsidP="00E63730">
      <w:pPr>
        <w:rPr>
          <w:sz w:val="22"/>
          <w:szCs w:val="22"/>
        </w:rPr>
      </w:pPr>
      <w:r w:rsidRPr="006968F3">
        <w:t>Critically discuss the benefits and limitations of automated immunoassay.</w:t>
      </w:r>
    </w:p>
    <w:p w14:paraId="146A5E10" w14:textId="77777777" w:rsidR="00E63730" w:rsidRDefault="00E63730" w:rsidP="00E63730"/>
    <w:p w14:paraId="06BD0021" w14:textId="337D8536" w:rsidR="00E63730" w:rsidRPr="006E210A" w:rsidRDefault="00E63730" w:rsidP="00E63730">
      <w:pPr>
        <w:rPr>
          <w:b/>
          <w:bCs/>
          <w:color w:val="000000"/>
          <w:sz w:val="22"/>
          <w:szCs w:val="22"/>
          <w:shd w:val="clear" w:color="auto" w:fill="FCFCFC"/>
        </w:rPr>
      </w:pPr>
      <w:r w:rsidRPr="006E210A">
        <w:rPr>
          <w:b/>
          <w:bCs/>
          <w:color w:val="000000"/>
          <w:sz w:val="22"/>
          <w:szCs w:val="22"/>
          <w:shd w:val="clear" w:color="auto" w:fill="FCFCFC"/>
        </w:rPr>
        <w:t xml:space="preserve">Key </w:t>
      </w:r>
      <w:r w:rsidR="006E210A">
        <w:rPr>
          <w:b/>
          <w:bCs/>
          <w:color w:val="000000"/>
          <w:sz w:val="22"/>
          <w:szCs w:val="22"/>
          <w:shd w:val="clear" w:color="auto" w:fill="FCFCFC"/>
        </w:rPr>
        <w:t xml:space="preserve">Starter </w:t>
      </w:r>
      <w:r w:rsidRPr="006E210A">
        <w:rPr>
          <w:b/>
          <w:bCs/>
          <w:color w:val="000000"/>
          <w:sz w:val="22"/>
          <w:szCs w:val="22"/>
          <w:shd w:val="clear" w:color="auto" w:fill="FCFCFC"/>
        </w:rPr>
        <w:t>References</w:t>
      </w:r>
    </w:p>
    <w:p w14:paraId="4FA74F66" w14:textId="1AA6A963" w:rsidR="00E63730" w:rsidRDefault="00E63730" w:rsidP="00E63730">
      <w:pPr>
        <w:rPr>
          <w:shd w:val="clear" w:color="auto" w:fill="FCFCFC"/>
        </w:rPr>
      </w:pPr>
      <w:r>
        <w:rPr>
          <w:color w:val="000000"/>
          <w:shd w:val="clear" w:color="auto" w:fill="FCFCFC"/>
        </w:rPr>
        <w:t>Cinquanta, L., Fontana, D.E. &amp; Bizzaro, N. Chemiluminescent immunoassay technology: what does it change in autoantibody detection?. </w:t>
      </w:r>
      <w:r>
        <w:rPr>
          <w:i/>
          <w:iCs/>
          <w:color w:val="000000"/>
          <w:shd w:val="clear" w:color="auto" w:fill="FCFCFC"/>
        </w:rPr>
        <w:t>Autoimmun Highlights</w:t>
      </w:r>
      <w:r>
        <w:rPr>
          <w:color w:val="000000"/>
          <w:shd w:val="clear" w:color="auto" w:fill="FCFCFC"/>
        </w:rPr>
        <w:t> </w:t>
      </w:r>
      <w:r>
        <w:rPr>
          <w:b/>
          <w:bCs/>
          <w:color w:val="000000"/>
          <w:shd w:val="clear" w:color="auto" w:fill="FCFCFC"/>
        </w:rPr>
        <w:t>8, </w:t>
      </w:r>
      <w:r>
        <w:rPr>
          <w:color w:val="000000"/>
          <w:shd w:val="clear" w:color="auto" w:fill="FCFCFC"/>
        </w:rPr>
        <w:t xml:space="preserve">9 (2017). </w:t>
      </w:r>
      <w:hyperlink r:id="rId10" w:history="1">
        <w:r>
          <w:rPr>
            <w:rStyle w:val="Hyperlink"/>
            <w:color w:val="000000"/>
            <w:shd w:val="clear" w:color="auto" w:fill="FCFCFC"/>
          </w:rPr>
          <w:t>https://doi.org/10.1007/s13317-017-0097-2</w:t>
        </w:r>
      </w:hyperlink>
    </w:p>
    <w:p w14:paraId="01AAA073" w14:textId="77777777" w:rsidR="00E63730" w:rsidRDefault="00E63730" w:rsidP="00E63730"/>
    <w:p w14:paraId="09DA158D" w14:textId="77777777" w:rsidR="00E63730" w:rsidRDefault="00E63730" w:rsidP="00E63730">
      <w:r>
        <w:rPr>
          <w:color w:val="000000"/>
          <w:shd w:val="clear" w:color="auto" w:fill="FFFFFF"/>
        </w:rPr>
        <w:t>Jenkins Colon, P., Greene, D. N. Biotin Interference in Clinical Immunoassays, </w:t>
      </w:r>
      <w:r>
        <w:rPr>
          <w:rStyle w:val="Emphasis"/>
          <w:color w:val="000000"/>
          <w:bdr w:val="none" w:sz="0" w:space="0" w:color="auto" w:frame="1"/>
          <w:shd w:val="clear" w:color="auto" w:fill="FFFFFF"/>
        </w:rPr>
        <w:t>The Journal of Applied Laboratory Medicine</w:t>
      </w:r>
      <w:r>
        <w:rPr>
          <w:color w:val="000000"/>
          <w:shd w:val="clear" w:color="auto" w:fill="FFFFFF"/>
        </w:rPr>
        <w:t>, Volume 2, Issue 6, 1 May 2018, Pages 941–951, </w:t>
      </w:r>
      <w:hyperlink r:id="rId11" w:history="1">
        <w:r>
          <w:rPr>
            <w:rStyle w:val="Hyperlink"/>
            <w:color w:val="000000"/>
            <w:bdr w:val="none" w:sz="0" w:space="0" w:color="auto" w:frame="1"/>
            <w:shd w:val="clear" w:color="auto" w:fill="FFFFFF"/>
          </w:rPr>
          <w:t>https://doi.org/10.1373/jalm.2017.024257</w:t>
        </w:r>
      </w:hyperlink>
    </w:p>
    <w:p w14:paraId="0E79776D" w14:textId="77777777" w:rsidR="00E63730" w:rsidRDefault="00E63730" w:rsidP="00E63730"/>
    <w:p w14:paraId="6DE8ACE2" w14:textId="77777777" w:rsidR="00E63730" w:rsidRDefault="00E63730" w:rsidP="00E63730">
      <w:pPr>
        <w:rPr>
          <w:b/>
          <w:bCs/>
        </w:rPr>
      </w:pPr>
    </w:p>
    <w:p w14:paraId="1A69BD3A" w14:textId="1CF6B40C" w:rsidR="00E63730" w:rsidRPr="006968F3" w:rsidRDefault="00E63730" w:rsidP="00E63730">
      <w:r w:rsidRPr="006968F3">
        <w:t>Critically discuss the role of the clinical biochemistry laboratory in prenatal care.</w:t>
      </w:r>
    </w:p>
    <w:p w14:paraId="606DCECB" w14:textId="727DA450" w:rsidR="00E63730" w:rsidRPr="006E210A" w:rsidRDefault="00E63730" w:rsidP="00E63730">
      <w:pPr>
        <w:rPr>
          <w:b/>
          <w:bCs/>
          <w:sz w:val="22"/>
          <w:szCs w:val="22"/>
        </w:rPr>
      </w:pPr>
      <w:r w:rsidRPr="006E210A">
        <w:rPr>
          <w:b/>
          <w:bCs/>
          <w:sz w:val="22"/>
          <w:szCs w:val="22"/>
        </w:rPr>
        <w:t xml:space="preserve">Key </w:t>
      </w:r>
      <w:r w:rsidR="006E210A">
        <w:rPr>
          <w:b/>
          <w:bCs/>
          <w:sz w:val="22"/>
          <w:szCs w:val="22"/>
        </w:rPr>
        <w:t xml:space="preserve">Starter </w:t>
      </w:r>
      <w:r w:rsidRPr="006E210A">
        <w:rPr>
          <w:b/>
          <w:bCs/>
          <w:sz w:val="22"/>
          <w:szCs w:val="22"/>
        </w:rPr>
        <w:t>References</w:t>
      </w:r>
    </w:p>
    <w:p w14:paraId="658D1FE7" w14:textId="7DD0DD49" w:rsidR="00E63730" w:rsidRDefault="00E63730" w:rsidP="00E63730">
      <w:pPr>
        <w:rPr>
          <w:rStyle w:val="doilink"/>
          <w:shd w:val="clear" w:color="auto" w:fill="FFFFFF"/>
        </w:rPr>
      </w:pPr>
      <w:r>
        <w:rPr>
          <w:rStyle w:val="authors"/>
          <w:color w:val="000000"/>
          <w:shd w:val="clear" w:color="auto" w:fill="FFFFFF"/>
        </w:rPr>
        <w:t>Springer, D., Jiskra, J., Limanova, Z., Zima, T., &amp; Potlukova E.</w:t>
      </w:r>
      <w:r>
        <w:rPr>
          <w:color w:val="000000"/>
          <w:shd w:val="clear" w:color="auto" w:fill="FFFFFF"/>
        </w:rPr>
        <w:t> </w:t>
      </w:r>
      <w:r>
        <w:rPr>
          <w:rStyle w:val="Date1"/>
          <w:color w:val="000000"/>
          <w:shd w:val="clear" w:color="auto" w:fill="FFFFFF"/>
        </w:rPr>
        <w:t>(2017)</w:t>
      </w:r>
      <w:r>
        <w:rPr>
          <w:color w:val="000000"/>
          <w:shd w:val="clear" w:color="auto" w:fill="FFFFFF"/>
        </w:rPr>
        <w:t> </w:t>
      </w:r>
      <w:r>
        <w:rPr>
          <w:rStyle w:val="arttitle"/>
          <w:color w:val="000000"/>
          <w:shd w:val="clear" w:color="auto" w:fill="FFFFFF"/>
        </w:rPr>
        <w:t>Thyroid in pregnancy: From physiology to screening,</w:t>
      </w:r>
      <w:r>
        <w:rPr>
          <w:color w:val="000000"/>
          <w:shd w:val="clear" w:color="auto" w:fill="FFFFFF"/>
        </w:rPr>
        <w:t> </w:t>
      </w:r>
      <w:r>
        <w:rPr>
          <w:rStyle w:val="serialtitle"/>
          <w:color w:val="000000"/>
          <w:shd w:val="clear" w:color="auto" w:fill="FFFFFF"/>
        </w:rPr>
        <w:t>Critical Reviews in Clinical Laboratory Sciences,</w:t>
      </w:r>
      <w:r>
        <w:rPr>
          <w:color w:val="000000"/>
          <w:shd w:val="clear" w:color="auto" w:fill="FFFFFF"/>
        </w:rPr>
        <w:t> </w:t>
      </w:r>
      <w:r>
        <w:rPr>
          <w:rStyle w:val="volumeissue"/>
          <w:color w:val="000000"/>
          <w:shd w:val="clear" w:color="auto" w:fill="FFFFFF"/>
        </w:rPr>
        <w:t>54:2,</w:t>
      </w:r>
      <w:r>
        <w:rPr>
          <w:color w:val="000000"/>
          <w:shd w:val="clear" w:color="auto" w:fill="FFFFFF"/>
        </w:rPr>
        <w:t> </w:t>
      </w:r>
      <w:r>
        <w:rPr>
          <w:rStyle w:val="pagerange"/>
          <w:color w:val="000000"/>
          <w:shd w:val="clear" w:color="auto" w:fill="FFFFFF"/>
        </w:rPr>
        <w:t>102-116,</w:t>
      </w:r>
      <w:r>
        <w:rPr>
          <w:color w:val="000000"/>
          <w:shd w:val="clear" w:color="auto" w:fill="FFFFFF"/>
        </w:rPr>
        <w:t> </w:t>
      </w:r>
      <w:r>
        <w:rPr>
          <w:rStyle w:val="doilink"/>
          <w:color w:val="000000"/>
          <w:shd w:val="clear" w:color="auto" w:fill="FFFFFF"/>
        </w:rPr>
        <w:t>DOI:</w:t>
      </w:r>
      <w:r w:rsidRPr="00E63730">
        <w:rPr>
          <w:rStyle w:val="doilink"/>
          <w:color w:val="000000"/>
          <w:u w:val="single"/>
          <w:shd w:val="clear" w:color="auto" w:fill="FFFFFF"/>
        </w:rPr>
        <w:t> https://</w:t>
      </w:r>
      <w:hyperlink r:id="rId12" w:history="1">
        <w:r w:rsidRPr="00E63730">
          <w:rPr>
            <w:rStyle w:val="Hyperlink"/>
            <w:color w:val="000000"/>
            <w:shd w:val="clear" w:color="auto" w:fill="FFFFFF"/>
          </w:rPr>
          <w:t>10.1080/10408363.2016.1269309</w:t>
        </w:r>
      </w:hyperlink>
    </w:p>
    <w:p w14:paraId="720DC5D8" w14:textId="77777777" w:rsidR="00E63730" w:rsidRDefault="00E63730" w:rsidP="00E63730">
      <w:pPr>
        <w:rPr>
          <w:rStyle w:val="doilink"/>
          <w:shd w:val="clear" w:color="auto" w:fill="FFFFFF"/>
        </w:rPr>
      </w:pPr>
    </w:p>
    <w:p w14:paraId="156BE303" w14:textId="77777777" w:rsidR="00E63730" w:rsidRDefault="00E63730" w:rsidP="00E63730">
      <w:pPr>
        <w:rPr>
          <w:shd w:val="clear" w:color="auto" w:fill="FCFCFC"/>
        </w:rPr>
      </w:pPr>
      <w:r>
        <w:rPr>
          <w:color w:val="000000"/>
          <w:shd w:val="clear" w:color="auto" w:fill="FCFCFC"/>
        </w:rPr>
        <w:t>Powe, C.E. Early Pregnancy Biochemical Predictors of Gestational Diabetes Mellitus. </w:t>
      </w:r>
      <w:r>
        <w:rPr>
          <w:i/>
          <w:iCs/>
          <w:color w:val="000000"/>
          <w:shd w:val="clear" w:color="auto" w:fill="FCFCFC"/>
        </w:rPr>
        <w:t>Curr Diab Rep</w:t>
      </w:r>
      <w:r>
        <w:rPr>
          <w:color w:val="000000"/>
          <w:shd w:val="clear" w:color="auto" w:fill="FCFCFC"/>
        </w:rPr>
        <w:t> </w:t>
      </w:r>
      <w:r>
        <w:rPr>
          <w:b/>
          <w:bCs/>
          <w:color w:val="000000"/>
          <w:shd w:val="clear" w:color="auto" w:fill="FCFCFC"/>
        </w:rPr>
        <w:t>17, </w:t>
      </w:r>
      <w:r>
        <w:rPr>
          <w:color w:val="000000"/>
          <w:shd w:val="clear" w:color="auto" w:fill="FCFCFC"/>
        </w:rPr>
        <w:t xml:space="preserve">12 (2017). </w:t>
      </w:r>
      <w:hyperlink r:id="rId13" w:history="1">
        <w:r>
          <w:rPr>
            <w:rStyle w:val="Hyperlink"/>
            <w:color w:val="000000"/>
            <w:shd w:val="clear" w:color="auto" w:fill="FCFCFC"/>
          </w:rPr>
          <w:t>https://doi.org/10.1007/s11892-017-0834-y</w:t>
        </w:r>
      </w:hyperlink>
    </w:p>
    <w:p w14:paraId="5A661449" w14:textId="2D021F1F" w:rsidR="00A34F5A" w:rsidRDefault="00A34F5A">
      <w:pPr>
        <w:rPr>
          <w:rFonts w:asciiTheme="majorHAnsi" w:hAnsiTheme="majorHAnsi"/>
          <w:b/>
        </w:rPr>
      </w:pPr>
    </w:p>
    <w:p w14:paraId="4570B7B0" w14:textId="77777777" w:rsidR="00E63730" w:rsidRPr="00A34F5A" w:rsidRDefault="00E63730">
      <w:pPr>
        <w:rPr>
          <w:rFonts w:asciiTheme="majorHAnsi" w:hAnsiTheme="majorHAnsi"/>
          <w:b/>
        </w:rPr>
      </w:pPr>
    </w:p>
    <w:p w14:paraId="192518B4" w14:textId="77777777" w:rsidR="000B7BC5" w:rsidRPr="00B241A4" w:rsidRDefault="00882872" w:rsidP="00B241A4">
      <w:pPr>
        <w:rPr>
          <w:rFonts w:asciiTheme="majorHAnsi" w:hAnsiTheme="majorHAnsi"/>
          <w:b/>
          <w:sz w:val="28"/>
        </w:rPr>
      </w:pPr>
      <w:r w:rsidRPr="003B7D33">
        <w:rPr>
          <w:rFonts w:asciiTheme="majorHAnsi" w:hAnsiTheme="majorHAnsi"/>
          <w:b/>
          <w:sz w:val="28"/>
        </w:rPr>
        <w:lastRenderedPageBreak/>
        <w:t>Cytopathology</w:t>
      </w:r>
    </w:p>
    <w:p w14:paraId="3458D550" w14:textId="77777777" w:rsidR="00054FFC" w:rsidRDefault="00054FFC" w:rsidP="00054FFC">
      <w:pPr>
        <w:rPr>
          <w:lang w:val="en-US" w:eastAsia="en-GB"/>
        </w:rPr>
      </w:pPr>
      <w:r>
        <w:rPr>
          <w:lang w:val="en-US" w:eastAsia="en-GB"/>
        </w:rPr>
        <w:t>Critically d</w:t>
      </w:r>
      <w:r w:rsidRPr="004954C9">
        <w:rPr>
          <w:lang w:val="en-US" w:eastAsia="en-GB"/>
        </w:rPr>
        <w:t>iscuss the role of cytology in the identification of infections</w:t>
      </w:r>
      <w:r>
        <w:rPr>
          <w:lang w:val="en-US" w:eastAsia="en-GB"/>
        </w:rPr>
        <w:t>.</w:t>
      </w:r>
    </w:p>
    <w:p w14:paraId="4EFC3F9E" w14:textId="77777777" w:rsidR="00054FFC" w:rsidRDefault="00054FFC" w:rsidP="00054FFC">
      <w:pPr>
        <w:rPr>
          <w:lang w:val="en-US" w:eastAsia="en-GB"/>
        </w:rPr>
      </w:pPr>
    </w:p>
    <w:p w14:paraId="3C9024BB" w14:textId="3E217D45" w:rsidR="00882872" w:rsidRDefault="00054FFC" w:rsidP="00054FFC">
      <w:pPr>
        <w:rPr>
          <w:rFonts w:asciiTheme="majorHAnsi" w:hAnsiTheme="majorHAnsi"/>
        </w:rPr>
      </w:pPr>
      <w:r>
        <w:rPr>
          <w:rFonts w:asciiTheme="majorHAnsi" w:hAnsiTheme="majorHAnsi"/>
        </w:rPr>
        <w:t>Critically discuss the action that can be taken to check and monitor the quality of Non-Gynaecological Cytology work</w:t>
      </w:r>
    </w:p>
    <w:p w14:paraId="00DDE145" w14:textId="77777777" w:rsidR="000B7BC5" w:rsidRDefault="000B7BC5" w:rsidP="00882872">
      <w:pPr>
        <w:rPr>
          <w:rFonts w:asciiTheme="majorHAnsi" w:hAnsiTheme="majorHAnsi"/>
        </w:rPr>
      </w:pPr>
    </w:p>
    <w:p w14:paraId="5B17C48B" w14:textId="77777777" w:rsidR="000B7BC5" w:rsidRDefault="000B7BC5" w:rsidP="00882872">
      <w:pPr>
        <w:rPr>
          <w:rFonts w:asciiTheme="majorHAnsi" w:hAnsiTheme="majorHAnsi"/>
        </w:rPr>
      </w:pPr>
    </w:p>
    <w:p w14:paraId="3B36F751" w14:textId="77777777" w:rsidR="00E63730" w:rsidRDefault="00B94DF9" w:rsidP="00E63730">
      <w:pPr>
        <w:rPr>
          <w:rFonts w:asciiTheme="majorHAnsi" w:hAnsiTheme="majorHAnsi" w:cs="Times New Roman"/>
          <w:b/>
          <w:iCs/>
          <w:sz w:val="28"/>
        </w:rPr>
      </w:pPr>
      <w:r w:rsidRPr="001063E5">
        <w:rPr>
          <w:rFonts w:asciiTheme="majorHAnsi" w:hAnsiTheme="majorHAnsi" w:cs="Times New Roman"/>
          <w:b/>
          <w:iCs/>
          <w:sz w:val="28"/>
        </w:rPr>
        <w:t>Haematology</w:t>
      </w:r>
    </w:p>
    <w:p w14:paraId="16E164AD" w14:textId="77777777" w:rsidR="00E63730" w:rsidRPr="006968F3" w:rsidRDefault="00E63730" w:rsidP="00E63730">
      <w:pPr>
        <w:rPr>
          <w:rFonts w:asciiTheme="majorHAnsi" w:hAnsiTheme="majorHAnsi" w:cs="Times New Roman"/>
          <w:b/>
          <w:iCs/>
          <w:sz w:val="28"/>
        </w:rPr>
      </w:pPr>
      <w:r w:rsidRPr="006968F3">
        <w:t>Describe the mechanisms proposed for vaccine-induce immune thromobocytopaenia and thrombosis (VITT), and critically discuss assays available to diagnose this syndrome.</w:t>
      </w:r>
    </w:p>
    <w:p w14:paraId="2C696D5F" w14:textId="77777777" w:rsidR="00E63730" w:rsidRPr="006968F3" w:rsidRDefault="00E63730" w:rsidP="00E63730">
      <w:pPr>
        <w:rPr>
          <w:rFonts w:asciiTheme="majorHAnsi" w:hAnsiTheme="majorHAnsi" w:cs="Times New Roman"/>
          <w:b/>
          <w:iCs/>
          <w:sz w:val="28"/>
        </w:rPr>
      </w:pPr>
    </w:p>
    <w:p w14:paraId="2268D2DA" w14:textId="7F5E0DE9" w:rsidR="00E63730" w:rsidRPr="006968F3" w:rsidRDefault="00E63730" w:rsidP="00E63730">
      <w:pPr>
        <w:rPr>
          <w:rFonts w:asciiTheme="majorHAnsi" w:hAnsiTheme="majorHAnsi" w:cs="Times New Roman"/>
          <w:b/>
          <w:iCs/>
          <w:sz w:val="28"/>
        </w:rPr>
      </w:pPr>
      <w:r w:rsidRPr="006968F3">
        <w:t xml:space="preserve">Relate the pathophysiologies of microangiopathic haemolytic anaemias to their manifestations in Blood Science laboratory analyses. </w:t>
      </w:r>
    </w:p>
    <w:p w14:paraId="3CA26892" w14:textId="668B95A4" w:rsidR="000B7BC5" w:rsidRDefault="000B7BC5" w:rsidP="00DC6E18">
      <w:pPr>
        <w:rPr>
          <w:rFonts w:asciiTheme="majorHAnsi" w:hAnsiTheme="majorHAnsi" w:cs="Times New Roman"/>
          <w:b/>
          <w:iCs/>
        </w:rPr>
      </w:pPr>
    </w:p>
    <w:p w14:paraId="13F8AF77" w14:textId="77777777" w:rsidR="00B355F5" w:rsidRPr="006E210A" w:rsidRDefault="00B355F5" w:rsidP="00DC6E18">
      <w:pPr>
        <w:rPr>
          <w:rFonts w:asciiTheme="majorHAnsi" w:hAnsiTheme="majorHAnsi" w:cs="Times New Roman"/>
          <w:b/>
          <w:iCs/>
          <w:szCs w:val="22"/>
        </w:rPr>
      </w:pPr>
    </w:p>
    <w:p w14:paraId="3D927A90" w14:textId="77777777" w:rsidR="000B7BC5" w:rsidRPr="00B241A4" w:rsidRDefault="00B94DF9" w:rsidP="00DC6E18">
      <w:pPr>
        <w:rPr>
          <w:rFonts w:asciiTheme="majorHAnsi" w:hAnsiTheme="majorHAnsi" w:cs="Times New Roman"/>
          <w:b/>
          <w:iCs/>
          <w:sz w:val="28"/>
        </w:rPr>
      </w:pPr>
      <w:r w:rsidRPr="003B7D33">
        <w:rPr>
          <w:rFonts w:asciiTheme="majorHAnsi" w:hAnsiTheme="majorHAnsi" w:cs="Times New Roman"/>
          <w:b/>
          <w:iCs/>
          <w:sz w:val="28"/>
        </w:rPr>
        <w:t>Immunology</w:t>
      </w:r>
    </w:p>
    <w:p w14:paraId="4DD55DC9" w14:textId="0E377B35" w:rsidR="00E63730" w:rsidRDefault="00E63730" w:rsidP="00E63730">
      <w:pPr>
        <w:pStyle w:val="xmsonormal"/>
        <w:rPr>
          <w:sz w:val="24"/>
          <w:szCs w:val="24"/>
        </w:rPr>
      </w:pPr>
      <w:r>
        <w:rPr>
          <w:sz w:val="24"/>
          <w:szCs w:val="24"/>
        </w:rPr>
        <w:t>Discuss the role of measuring autoantibodies in Autoimmune Encephalitis.</w:t>
      </w:r>
    </w:p>
    <w:p w14:paraId="017E4EA3" w14:textId="77777777" w:rsidR="00E63730" w:rsidRDefault="00E63730" w:rsidP="00E63730">
      <w:pPr>
        <w:pStyle w:val="xmsonormal"/>
      </w:pPr>
    </w:p>
    <w:p w14:paraId="024EA554" w14:textId="77777777" w:rsidR="00E63730" w:rsidRDefault="00E63730" w:rsidP="00E63730">
      <w:pPr>
        <w:pStyle w:val="xmsonormal"/>
      </w:pPr>
      <w:r>
        <w:rPr>
          <w:sz w:val="24"/>
          <w:szCs w:val="24"/>
        </w:rPr>
        <w:t>Critically evaluate the methods available for the measurement of lymphocyte proliferation.</w:t>
      </w:r>
    </w:p>
    <w:p w14:paraId="265E4F13" w14:textId="591586B3" w:rsidR="00B241A4" w:rsidRDefault="00B241A4" w:rsidP="00973012">
      <w:pPr>
        <w:rPr>
          <w:rFonts w:asciiTheme="majorHAnsi" w:hAnsiTheme="majorHAnsi"/>
          <w:b/>
          <w:szCs w:val="22"/>
        </w:rPr>
      </w:pPr>
    </w:p>
    <w:p w14:paraId="29DD61C3" w14:textId="77777777" w:rsidR="006E210A" w:rsidRPr="006E210A" w:rsidRDefault="006E210A" w:rsidP="00973012">
      <w:pPr>
        <w:rPr>
          <w:rFonts w:asciiTheme="majorHAnsi" w:hAnsiTheme="majorHAnsi"/>
          <w:b/>
          <w:szCs w:val="22"/>
        </w:rPr>
      </w:pPr>
    </w:p>
    <w:p w14:paraId="0B0C5E67" w14:textId="77777777" w:rsidR="000B7BC5" w:rsidRPr="00B241A4" w:rsidRDefault="000C3A09" w:rsidP="00B241A4">
      <w:pPr>
        <w:rPr>
          <w:rFonts w:asciiTheme="majorHAnsi" w:hAnsiTheme="majorHAnsi"/>
          <w:b/>
          <w:sz w:val="28"/>
        </w:rPr>
      </w:pPr>
      <w:r w:rsidRPr="001063E5">
        <w:rPr>
          <w:rFonts w:asciiTheme="majorHAnsi" w:hAnsiTheme="majorHAnsi"/>
          <w:b/>
          <w:sz w:val="28"/>
        </w:rPr>
        <w:t>Leadership and Management</w:t>
      </w:r>
    </w:p>
    <w:p w14:paraId="3FA52144" w14:textId="4BE961CE" w:rsidR="00054FFC" w:rsidRPr="006968F3" w:rsidRDefault="00054FFC" w:rsidP="00054FFC">
      <w:pPr>
        <w:rPr>
          <w:rFonts w:asciiTheme="majorHAnsi" w:hAnsiTheme="majorHAnsi" w:cstheme="majorHAnsi"/>
          <w:sz w:val="22"/>
          <w:szCs w:val="22"/>
        </w:rPr>
      </w:pPr>
      <w:r w:rsidRPr="006968F3">
        <w:rPr>
          <w:rFonts w:asciiTheme="majorHAnsi" w:hAnsiTheme="majorHAnsi" w:cstheme="majorHAnsi"/>
        </w:rPr>
        <w:t>Discuss ways of rapidly engaging with key stakeholders involved with your service in the event of a sudden service change and needing to respond rapidly. Include both pros and cons of such engagement activities and justify which methods would give the best inputs for service management and improvement.</w:t>
      </w:r>
    </w:p>
    <w:p w14:paraId="7F933E85" w14:textId="77777777" w:rsidR="0089288C" w:rsidRPr="006968F3" w:rsidRDefault="0089288C">
      <w:pPr>
        <w:rPr>
          <w:rFonts w:asciiTheme="majorHAnsi" w:hAnsiTheme="majorHAnsi" w:cstheme="majorHAnsi"/>
          <w:b/>
        </w:rPr>
      </w:pPr>
    </w:p>
    <w:p w14:paraId="75685C91" w14:textId="222E092D" w:rsidR="00A0230B" w:rsidRDefault="00054FFC" w:rsidP="006E210A">
      <w:pPr>
        <w:pStyle w:val="NormalWeb"/>
        <w:rPr>
          <w:rFonts w:asciiTheme="majorHAnsi" w:hAnsiTheme="majorHAnsi" w:cstheme="majorHAnsi"/>
        </w:rPr>
      </w:pPr>
      <w:r w:rsidRPr="006968F3">
        <w:rPr>
          <w:rFonts w:asciiTheme="majorHAnsi" w:hAnsiTheme="majorHAnsi" w:cstheme="majorHAnsi"/>
          <w:color w:val="000000"/>
        </w:rPr>
        <w:t xml:space="preserve">Critically review values based staff recruitment and selection campaigns and how these differ from traditional methods of recruitment. Do you consider that this is an improved strategy or not, justifying your decision? How can these campaigns be ensured to </w:t>
      </w:r>
      <w:r w:rsidRPr="006968F3">
        <w:rPr>
          <w:rFonts w:asciiTheme="majorHAnsi" w:hAnsiTheme="majorHAnsi" w:cstheme="majorHAnsi"/>
        </w:rPr>
        <w:t>ensure inclusivity in the context of staff equality and diversity.</w:t>
      </w:r>
    </w:p>
    <w:p w14:paraId="5B22C894" w14:textId="77777777" w:rsidR="006E210A" w:rsidRPr="006E210A" w:rsidRDefault="006E210A" w:rsidP="006E210A">
      <w:pPr>
        <w:pStyle w:val="NormalWeb"/>
        <w:rPr>
          <w:rFonts w:asciiTheme="majorHAnsi" w:hAnsiTheme="majorHAnsi" w:cstheme="majorHAnsi"/>
          <w:color w:val="212121"/>
          <w:sz w:val="22"/>
          <w:szCs w:val="22"/>
        </w:rPr>
      </w:pPr>
    </w:p>
    <w:p w14:paraId="36B0F0A5" w14:textId="77777777" w:rsidR="00071A6B" w:rsidRDefault="00071A6B" w:rsidP="001F061E">
      <w:pPr>
        <w:rPr>
          <w:rFonts w:asciiTheme="majorHAnsi" w:hAnsiTheme="majorHAnsi"/>
          <w:b/>
          <w:sz w:val="28"/>
        </w:rPr>
      </w:pPr>
    </w:p>
    <w:p w14:paraId="7BC418F0" w14:textId="0E6E4099" w:rsidR="000B7BC5" w:rsidRDefault="00A3650B" w:rsidP="001F061E">
      <w:pPr>
        <w:rPr>
          <w:rFonts w:asciiTheme="majorHAnsi" w:hAnsiTheme="majorHAnsi"/>
          <w:b/>
          <w:sz w:val="28"/>
        </w:rPr>
      </w:pPr>
      <w:r w:rsidRPr="001063E5">
        <w:rPr>
          <w:rFonts w:asciiTheme="majorHAnsi" w:hAnsiTheme="majorHAnsi"/>
          <w:b/>
          <w:sz w:val="28"/>
        </w:rPr>
        <w:t>Medical Microbiology</w:t>
      </w:r>
    </w:p>
    <w:p w14:paraId="0A60BA14" w14:textId="3B5CEE64" w:rsidR="00E63730" w:rsidRDefault="00E63730" w:rsidP="00E63730">
      <w:r>
        <w:t>Review the changing dynamics of infections in the cystic fibrosis lung.</w:t>
      </w:r>
    </w:p>
    <w:p w14:paraId="1B532A44" w14:textId="2BEA4D74" w:rsidR="00E63730" w:rsidRPr="00054FFC" w:rsidRDefault="00054FFC" w:rsidP="00E63730">
      <w:pPr>
        <w:rPr>
          <w:b/>
          <w:bCs/>
          <w:sz w:val="22"/>
          <w:szCs w:val="22"/>
        </w:rPr>
      </w:pPr>
      <w:r w:rsidRPr="00054FFC">
        <w:rPr>
          <w:b/>
          <w:bCs/>
          <w:sz w:val="22"/>
          <w:szCs w:val="22"/>
        </w:rPr>
        <w:t>Key Starter Reference:</w:t>
      </w:r>
    </w:p>
    <w:p w14:paraId="608926C7" w14:textId="77777777" w:rsidR="00E63730" w:rsidRPr="00054FFC" w:rsidRDefault="00E63730" w:rsidP="00E63730">
      <w:pPr>
        <w:rPr>
          <w:sz w:val="22"/>
          <w:szCs w:val="22"/>
        </w:rPr>
      </w:pPr>
      <w:r w:rsidRPr="00054FFC">
        <w:rPr>
          <w:sz w:val="22"/>
          <w:szCs w:val="22"/>
        </w:rPr>
        <w:t xml:space="preserve">LiPuma, JJ. (2010). The changing microbial epidemiology in cystic fibrosis. </w:t>
      </w:r>
      <w:r w:rsidRPr="00054FFC">
        <w:rPr>
          <w:i/>
          <w:iCs/>
          <w:sz w:val="22"/>
          <w:szCs w:val="22"/>
        </w:rPr>
        <w:t xml:space="preserve">Clinical Microbial Reviews, </w:t>
      </w:r>
      <w:r w:rsidRPr="00054FFC">
        <w:rPr>
          <w:sz w:val="22"/>
          <w:szCs w:val="22"/>
        </w:rPr>
        <w:t>April, 299-323</w:t>
      </w:r>
    </w:p>
    <w:p w14:paraId="08A1835A" w14:textId="77777777" w:rsidR="00E63730" w:rsidRDefault="00E63730" w:rsidP="00E63730"/>
    <w:p w14:paraId="64526ABA" w14:textId="77777777" w:rsidR="00054FFC" w:rsidRDefault="00054FFC" w:rsidP="00E63730"/>
    <w:p w14:paraId="18FB6C20" w14:textId="48D5564F" w:rsidR="00E63730" w:rsidRDefault="00E63730" w:rsidP="00E63730">
      <w:r>
        <w:t>Discuss the evolution of MDR-GNB within hospital settings, and speculate on how the COVID-19 pandemic has/may change this.</w:t>
      </w:r>
    </w:p>
    <w:p w14:paraId="58D42CD7" w14:textId="5808DB6F" w:rsidR="00E63730" w:rsidRPr="00054FFC" w:rsidRDefault="00054FFC" w:rsidP="00E63730">
      <w:pPr>
        <w:rPr>
          <w:b/>
          <w:bCs/>
          <w:sz w:val="22"/>
          <w:szCs w:val="22"/>
        </w:rPr>
      </w:pPr>
      <w:r w:rsidRPr="00054FFC">
        <w:rPr>
          <w:b/>
          <w:bCs/>
          <w:sz w:val="22"/>
          <w:szCs w:val="22"/>
        </w:rPr>
        <w:t>Key Starter Reference:</w:t>
      </w:r>
    </w:p>
    <w:p w14:paraId="5EC923F9" w14:textId="47C955CF" w:rsidR="00E63730" w:rsidRPr="008E51D7" w:rsidRDefault="00E63730" w:rsidP="00E63730">
      <w:r>
        <w:t>Baiou, A., Elbuzidi, A.A.</w:t>
      </w:r>
      <w:r w:rsidR="00054FFC">
        <w:t xml:space="preserve"> </w:t>
      </w:r>
      <w:r w:rsidR="00054FFC" w:rsidRPr="00054FFC">
        <w:rPr>
          <w:i/>
          <w:iCs/>
          <w:u w:val="single"/>
        </w:rPr>
        <w:t>et al</w:t>
      </w:r>
      <w:r w:rsidRPr="00054FFC">
        <w:rPr>
          <w:i/>
          <w:iCs/>
          <w:u w:val="single"/>
        </w:rPr>
        <w:t xml:space="preserve">. </w:t>
      </w:r>
      <w:r>
        <w:t xml:space="preserve">(2021). Clinical characteristics and riskfactors for the isolation of multi-drug Gram-negative bacteria from critically ill patients with COVID-19. </w:t>
      </w:r>
      <w:r w:rsidRPr="008E51D7">
        <w:rPr>
          <w:i/>
          <w:iCs/>
        </w:rPr>
        <w:t>Journal of Hospital Infection</w:t>
      </w:r>
      <w:r>
        <w:t>, 110, 165-171</w:t>
      </w:r>
    </w:p>
    <w:p w14:paraId="191D2BAC" w14:textId="0E7AE23D" w:rsidR="003118F0" w:rsidRPr="00B355F5" w:rsidRDefault="00172EF6" w:rsidP="003118F0">
      <w:pPr>
        <w:rPr>
          <w:b/>
          <w:sz w:val="28"/>
        </w:rPr>
      </w:pPr>
      <w:r w:rsidRPr="001063E5">
        <w:rPr>
          <w:b/>
          <w:sz w:val="28"/>
        </w:rPr>
        <w:lastRenderedPageBreak/>
        <w:t>Transfusion Science</w:t>
      </w:r>
    </w:p>
    <w:p w14:paraId="4B459DB9" w14:textId="105875E3" w:rsidR="00054FFC" w:rsidRPr="00054FFC" w:rsidRDefault="00054FFC" w:rsidP="00054FFC">
      <w:pPr>
        <w:rPr>
          <w:rFonts w:eastAsia="Times New Roman"/>
        </w:rPr>
      </w:pPr>
      <w:r w:rsidRPr="00054FFC">
        <w:rPr>
          <w:rFonts w:eastAsia="Calibri"/>
        </w:rPr>
        <w:t>Discuss the reasons why a serological crossmatch could be incompatible</w:t>
      </w:r>
      <w:r>
        <w:rPr>
          <w:rFonts w:eastAsia="Calibri"/>
        </w:rPr>
        <w:t>,</w:t>
      </w:r>
      <w:r w:rsidRPr="00054FFC">
        <w:rPr>
          <w:rFonts w:eastAsia="Calibri"/>
        </w:rPr>
        <w:t xml:space="preserve"> and the pathways employed for its investigation.</w:t>
      </w:r>
    </w:p>
    <w:p w14:paraId="48C08F9C" w14:textId="77777777" w:rsidR="00054FFC" w:rsidRPr="007C60F0" w:rsidRDefault="00054FFC" w:rsidP="00054FFC">
      <w:pPr>
        <w:rPr>
          <w:rFonts w:eastAsia="Times New Roman"/>
        </w:rPr>
      </w:pPr>
    </w:p>
    <w:p w14:paraId="1E521F80" w14:textId="77777777" w:rsidR="00054FFC" w:rsidRPr="00054FFC" w:rsidRDefault="00054FFC" w:rsidP="00054FFC">
      <w:pPr>
        <w:rPr>
          <w:rFonts w:eastAsia="Times New Roman"/>
        </w:rPr>
      </w:pPr>
      <w:r w:rsidRPr="007C60F0">
        <w:t>Discuss the effects that monoclonal antibodies can have on patient’s red cell serology and the steps that can be taken to resolve this issue.</w:t>
      </w:r>
    </w:p>
    <w:p w14:paraId="63A6D91E" w14:textId="77777777" w:rsidR="006E210A" w:rsidRPr="006E210A" w:rsidRDefault="006E210A" w:rsidP="00B355F5">
      <w:pPr>
        <w:rPr>
          <w:b/>
          <w:szCs w:val="22"/>
        </w:rPr>
      </w:pPr>
    </w:p>
    <w:p w14:paraId="5A2835E3" w14:textId="77777777" w:rsidR="006E210A" w:rsidRPr="006E210A" w:rsidRDefault="006E210A" w:rsidP="00B355F5">
      <w:pPr>
        <w:rPr>
          <w:b/>
          <w:szCs w:val="22"/>
        </w:rPr>
      </w:pPr>
    </w:p>
    <w:p w14:paraId="331BD899" w14:textId="12E44498" w:rsidR="003118F0" w:rsidRDefault="009C6732" w:rsidP="00B355F5">
      <w:pPr>
        <w:rPr>
          <w:b/>
          <w:sz w:val="28"/>
        </w:rPr>
      </w:pPr>
      <w:r w:rsidRPr="001063E5">
        <w:rPr>
          <w:b/>
          <w:sz w:val="28"/>
        </w:rPr>
        <w:t>Virology</w:t>
      </w:r>
    </w:p>
    <w:p w14:paraId="005D34C2" w14:textId="77777777" w:rsidR="00054FFC" w:rsidRPr="00054FFC" w:rsidRDefault="00054FFC" w:rsidP="00054FFC">
      <w:pPr>
        <w:rPr>
          <w:rFonts w:asciiTheme="majorHAnsi" w:hAnsiTheme="majorHAnsi"/>
        </w:rPr>
      </w:pPr>
      <w:r w:rsidRPr="00054FFC">
        <w:rPr>
          <w:rFonts w:asciiTheme="majorHAnsi" w:hAnsiTheme="majorHAnsi"/>
        </w:rPr>
        <w:t xml:space="preserve">Critically evaluate the effectiveness of local, national and international responses to the SARS-CoV-2 pandemic. Outline the key requirements for the laboratory service as part of a future pandemic preparedness plan and how these could be put in place.  </w:t>
      </w:r>
    </w:p>
    <w:p w14:paraId="0FB53842" w14:textId="77777777" w:rsidR="00054FFC" w:rsidRDefault="00054FFC" w:rsidP="00054FFC"/>
    <w:p w14:paraId="363C0025" w14:textId="77777777" w:rsidR="00054FFC" w:rsidRDefault="00054FFC" w:rsidP="00054FFC">
      <w:r>
        <w:t xml:space="preserve">Using selected examples, discuss the mechanism of action of antiviral drugs and critically evaluate the role of the laboratory in treatment selection and monitoring of effectiveness.  </w:t>
      </w:r>
    </w:p>
    <w:p w14:paraId="14724F69" w14:textId="77777777" w:rsidR="00054FFC" w:rsidRPr="00B355F5" w:rsidRDefault="00054FFC" w:rsidP="00B355F5">
      <w:pPr>
        <w:rPr>
          <w:b/>
          <w:sz w:val="28"/>
        </w:rPr>
      </w:pPr>
    </w:p>
    <w:sectPr w:rsidR="00054FFC" w:rsidRPr="00B355F5">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140A5A" w14:textId="77777777" w:rsidR="00B241A4" w:rsidRDefault="00B241A4" w:rsidP="00AC52AF">
      <w:r>
        <w:separator/>
      </w:r>
    </w:p>
  </w:endnote>
  <w:endnote w:type="continuationSeparator" w:id="0">
    <w:p w14:paraId="496D8F55" w14:textId="77777777" w:rsidR="00B241A4" w:rsidRDefault="00B241A4" w:rsidP="00AC52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88FA8" w14:textId="57EAEF10" w:rsidR="00B241A4" w:rsidRPr="008B49AE" w:rsidRDefault="00B241A4">
    <w:pPr>
      <w:pStyle w:val="Footer"/>
      <w:rPr>
        <w:sz w:val="20"/>
        <w:szCs w:val="20"/>
      </w:rPr>
    </w:pPr>
    <w:r w:rsidRPr="00FB5517">
      <w:rPr>
        <w:sz w:val="20"/>
        <w:szCs w:val="20"/>
      </w:rPr>
      <w:t xml:space="preserve">HSD Essay Titles </w:t>
    </w:r>
    <w:r>
      <w:rPr>
        <w:sz w:val="20"/>
        <w:szCs w:val="20"/>
      </w:rPr>
      <w:t>for Portfolio Submission in 202</w:t>
    </w:r>
    <w:r w:rsidR="00E63730">
      <w:rPr>
        <w:sz w:val="20"/>
        <w:szCs w:val="20"/>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5C0AC" w14:textId="77777777" w:rsidR="00B241A4" w:rsidRDefault="00B241A4" w:rsidP="00AC52AF">
      <w:r>
        <w:separator/>
      </w:r>
    </w:p>
  </w:footnote>
  <w:footnote w:type="continuationSeparator" w:id="0">
    <w:p w14:paraId="12063FF2" w14:textId="77777777" w:rsidR="00B241A4" w:rsidRDefault="00B241A4" w:rsidP="00AC52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27780"/>
    <w:multiLevelType w:val="hybridMultilevel"/>
    <w:tmpl w:val="64DA623C"/>
    <w:lvl w:ilvl="0" w:tplc="04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723544"/>
    <w:multiLevelType w:val="hybridMultilevel"/>
    <w:tmpl w:val="7B107D26"/>
    <w:lvl w:ilvl="0" w:tplc="F0800DD0">
      <w:start w:val="1"/>
      <w:numFmt w:val="decimal"/>
      <w:lvlText w:val="%1."/>
      <w:lvlJc w:val="left"/>
      <w:pPr>
        <w:tabs>
          <w:tab w:val="num" w:pos="720"/>
        </w:tabs>
        <w:ind w:left="720" w:hanging="360"/>
      </w:pPr>
    </w:lvl>
    <w:lvl w:ilvl="1" w:tplc="08090001">
      <w:start w:val="1"/>
      <w:numFmt w:val="bullet"/>
      <w:lvlText w:val=""/>
      <w:lvlJc w:val="left"/>
      <w:pPr>
        <w:tabs>
          <w:tab w:val="num" w:pos="1440"/>
        </w:tabs>
        <w:ind w:left="1440" w:hanging="360"/>
      </w:pPr>
      <w:rPr>
        <w:rFonts w:ascii="Symbol" w:hAnsi="Symbol" w:hint="default"/>
      </w:rPr>
    </w:lvl>
    <w:lvl w:ilvl="2" w:tplc="B8BEE892" w:tentative="1">
      <w:start w:val="1"/>
      <w:numFmt w:val="decimal"/>
      <w:lvlText w:val="%3."/>
      <w:lvlJc w:val="left"/>
      <w:pPr>
        <w:tabs>
          <w:tab w:val="num" w:pos="2160"/>
        </w:tabs>
        <w:ind w:left="2160" w:hanging="360"/>
      </w:pPr>
    </w:lvl>
    <w:lvl w:ilvl="3" w:tplc="E0A6FFCE" w:tentative="1">
      <w:start w:val="1"/>
      <w:numFmt w:val="decimal"/>
      <w:lvlText w:val="%4."/>
      <w:lvlJc w:val="left"/>
      <w:pPr>
        <w:tabs>
          <w:tab w:val="num" w:pos="2880"/>
        </w:tabs>
        <w:ind w:left="2880" w:hanging="360"/>
      </w:pPr>
    </w:lvl>
    <w:lvl w:ilvl="4" w:tplc="13D6529C" w:tentative="1">
      <w:start w:val="1"/>
      <w:numFmt w:val="decimal"/>
      <w:lvlText w:val="%5."/>
      <w:lvlJc w:val="left"/>
      <w:pPr>
        <w:tabs>
          <w:tab w:val="num" w:pos="3600"/>
        </w:tabs>
        <w:ind w:left="3600" w:hanging="360"/>
      </w:pPr>
    </w:lvl>
    <w:lvl w:ilvl="5" w:tplc="816CA3E6" w:tentative="1">
      <w:start w:val="1"/>
      <w:numFmt w:val="decimal"/>
      <w:lvlText w:val="%6."/>
      <w:lvlJc w:val="left"/>
      <w:pPr>
        <w:tabs>
          <w:tab w:val="num" w:pos="4320"/>
        </w:tabs>
        <w:ind w:left="4320" w:hanging="360"/>
      </w:pPr>
    </w:lvl>
    <w:lvl w:ilvl="6" w:tplc="39B44218" w:tentative="1">
      <w:start w:val="1"/>
      <w:numFmt w:val="decimal"/>
      <w:lvlText w:val="%7."/>
      <w:lvlJc w:val="left"/>
      <w:pPr>
        <w:tabs>
          <w:tab w:val="num" w:pos="5040"/>
        </w:tabs>
        <w:ind w:left="5040" w:hanging="360"/>
      </w:pPr>
    </w:lvl>
    <w:lvl w:ilvl="7" w:tplc="FE4C66B8" w:tentative="1">
      <w:start w:val="1"/>
      <w:numFmt w:val="decimal"/>
      <w:lvlText w:val="%8."/>
      <w:lvlJc w:val="left"/>
      <w:pPr>
        <w:tabs>
          <w:tab w:val="num" w:pos="5760"/>
        </w:tabs>
        <w:ind w:left="5760" w:hanging="360"/>
      </w:pPr>
    </w:lvl>
    <w:lvl w:ilvl="8" w:tplc="37D2E398" w:tentative="1">
      <w:start w:val="1"/>
      <w:numFmt w:val="decimal"/>
      <w:lvlText w:val="%9."/>
      <w:lvlJc w:val="left"/>
      <w:pPr>
        <w:tabs>
          <w:tab w:val="num" w:pos="6480"/>
        </w:tabs>
        <w:ind w:left="6480" w:hanging="360"/>
      </w:pPr>
    </w:lvl>
  </w:abstractNum>
  <w:abstractNum w:abstractNumId="2" w15:restartNumberingAfterBreak="0">
    <w:nsid w:val="08E0286A"/>
    <w:multiLevelType w:val="hybridMultilevel"/>
    <w:tmpl w:val="0242F8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4561F8"/>
    <w:multiLevelType w:val="hybridMultilevel"/>
    <w:tmpl w:val="5BAE9034"/>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E90FCD"/>
    <w:multiLevelType w:val="hybridMultilevel"/>
    <w:tmpl w:val="96D04902"/>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 w15:restartNumberingAfterBreak="0">
    <w:nsid w:val="18ED6BBD"/>
    <w:multiLevelType w:val="hybridMultilevel"/>
    <w:tmpl w:val="2084E5B6"/>
    <w:lvl w:ilvl="0" w:tplc="A614BE38">
      <w:start w:val="1"/>
      <w:numFmt w:val="decimal"/>
      <w:lvlText w:val="%1."/>
      <w:lvlJc w:val="left"/>
      <w:pPr>
        <w:ind w:left="720" w:hanging="360"/>
      </w:pPr>
      <w:rPr>
        <w:rFonts w:asciiTheme="minorHAnsi" w:eastAsiaTheme="minorHAnsi" w:hAnsiTheme="minorHAnsi" w:cstheme="minorBidi" w:hint="default"/>
        <w:color w:val="auto"/>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AD935B5"/>
    <w:multiLevelType w:val="hybridMultilevel"/>
    <w:tmpl w:val="4F74759E"/>
    <w:lvl w:ilvl="0" w:tplc="0809000F">
      <w:start w:val="1"/>
      <w:numFmt w:val="decimal"/>
      <w:lvlText w:val="%1."/>
      <w:lvlJc w:val="left"/>
      <w:pPr>
        <w:tabs>
          <w:tab w:val="num" w:pos="720"/>
        </w:tabs>
        <w:ind w:left="720" w:hanging="360"/>
      </w:pPr>
    </w:lvl>
    <w:lvl w:ilvl="1" w:tplc="08090001">
      <w:start w:val="1"/>
      <w:numFmt w:val="bullet"/>
      <w:lvlText w:val=""/>
      <w:lvlJc w:val="left"/>
      <w:pPr>
        <w:tabs>
          <w:tab w:val="num" w:pos="1440"/>
        </w:tabs>
        <w:ind w:left="1440" w:hanging="360"/>
      </w:pPr>
      <w:rPr>
        <w:rFonts w:ascii="Symbol" w:hAnsi="Symbol"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7" w15:restartNumberingAfterBreak="0">
    <w:nsid w:val="1C342FD8"/>
    <w:multiLevelType w:val="hybridMultilevel"/>
    <w:tmpl w:val="0D84C920"/>
    <w:lvl w:ilvl="0" w:tplc="8E560C2C">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BD12DA"/>
    <w:multiLevelType w:val="hybridMultilevel"/>
    <w:tmpl w:val="6BC84E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FB7591D"/>
    <w:multiLevelType w:val="hybridMultilevel"/>
    <w:tmpl w:val="C9E04EA4"/>
    <w:lvl w:ilvl="0" w:tplc="08090001">
      <w:start w:val="1"/>
      <w:numFmt w:val="bullet"/>
      <w:lvlText w:val=""/>
      <w:lvlJc w:val="left"/>
      <w:pPr>
        <w:ind w:left="720" w:hanging="360"/>
      </w:pPr>
      <w:rPr>
        <w:rFonts w:ascii="Symbol" w:hAnsi="Symbol"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4C971DD"/>
    <w:multiLevelType w:val="hybridMultilevel"/>
    <w:tmpl w:val="76B2134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2D5E296F"/>
    <w:multiLevelType w:val="hybridMultilevel"/>
    <w:tmpl w:val="8F38C1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DD32F8F"/>
    <w:multiLevelType w:val="hybridMultilevel"/>
    <w:tmpl w:val="64B4C13A"/>
    <w:styleLink w:val="Numbered"/>
    <w:lvl w:ilvl="0" w:tplc="6A1C541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B229208">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73A8B18">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97D43848">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8E032AE">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03A6A0C">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DC0680D2">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A1E26FC">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CE2B856">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2E7C7F05"/>
    <w:multiLevelType w:val="hybridMultilevel"/>
    <w:tmpl w:val="ABE4E5B4"/>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4" w15:restartNumberingAfterBreak="0">
    <w:nsid w:val="34CC2847"/>
    <w:multiLevelType w:val="hybridMultilevel"/>
    <w:tmpl w:val="F4CE1B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57A4EED"/>
    <w:multiLevelType w:val="hybridMultilevel"/>
    <w:tmpl w:val="82546DA2"/>
    <w:lvl w:ilvl="0" w:tplc="5328794E">
      <w:start w:val="1"/>
      <w:numFmt w:val="bullet"/>
      <w:lvlText w:val=""/>
      <w:lvlJc w:val="left"/>
      <w:pPr>
        <w:ind w:left="1145" w:hanging="360"/>
      </w:pPr>
      <w:rPr>
        <w:rFonts w:ascii="Symbol" w:hAnsi="Symbol" w:hint="default"/>
        <w:color w:val="0000FF"/>
      </w:rPr>
    </w:lvl>
    <w:lvl w:ilvl="1" w:tplc="08090003" w:tentative="1">
      <w:start w:val="1"/>
      <w:numFmt w:val="bullet"/>
      <w:lvlText w:val="o"/>
      <w:lvlJc w:val="left"/>
      <w:pPr>
        <w:ind w:left="1865" w:hanging="360"/>
      </w:pPr>
      <w:rPr>
        <w:rFonts w:ascii="Courier New" w:hAnsi="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16" w15:restartNumberingAfterBreak="0">
    <w:nsid w:val="36A17D81"/>
    <w:multiLevelType w:val="hybridMultilevel"/>
    <w:tmpl w:val="E1EE0F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C1C3DB0"/>
    <w:multiLevelType w:val="hybridMultilevel"/>
    <w:tmpl w:val="B01CB68E"/>
    <w:lvl w:ilvl="0" w:tplc="08090001">
      <w:start w:val="1"/>
      <w:numFmt w:val="bullet"/>
      <w:lvlText w:val=""/>
      <w:lvlJc w:val="left"/>
      <w:pPr>
        <w:ind w:left="1440" w:hanging="360"/>
      </w:pPr>
      <w:rPr>
        <w:rFonts w:ascii="Symbol" w:hAnsi="Symbol"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408A29F3"/>
    <w:multiLevelType w:val="hybridMultilevel"/>
    <w:tmpl w:val="F514C1C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416D342C"/>
    <w:multiLevelType w:val="hybridMultilevel"/>
    <w:tmpl w:val="88A45B70"/>
    <w:lvl w:ilvl="0" w:tplc="88F20F0C">
      <w:start w:val="1"/>
      <w:numFmt w:val="decimal"/>
      <w:lvlText w:val="%1."/>
      <w:lvlJc w:val="left"/>
      <w:pPr>
        <w:ind w:left="720" w:hanging="360"/>
      </w:pPr>
      <w:rPr>
        <w:rFonts w:hint="default"/>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AD34E99"/>
    <w:multiLevelType w:val="hybridMultilevel"/>
    <w:tmpl w:val="0108EA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D6C7856"/>
    <w:multiLevelType w:val="hybridMultilevel"/>
    <w:tmpl w:val="64B4C13A"/>
    <w:numStyleLink w:val="Numbered"/>
  </w:abstractNum>
  <w:abstractNum w:abstractNumId="22" w15:restartNumberingAfterBreak="0">
    <w:nsid w:val="4DB85CC6"/>
    <w:multiLevelType w:val="hybridMultilevel"/>
    <w:tmpl w:val="35C0533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4E74711C"/>
    <w:multiLevelType w:val="hybridMultilevel"/>
    <w:tmpl w:val="7F72DE8C"/>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4" w15:restartNumberingAfterBreak="0">
    <w:nsid w:val="4FC215F3"/>
    <w:multiLevelType w:val="hybridMultilevel"/>
    <w:tmpl w:val="E7A425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0AB664D"/>
    <w:multiLevelType w:val="hybridMultilevel"/>
    <w:tmpl w:val="AB4C36B8"/>
    <w:lvl w:ilvl="0" w:tplc="04090001">
      <w:start w:val="1"/>
      <w:numFmt w:val="bullet"/>
      <w:lvlText w:val=""/>
      <w:lvlJc w:val="left"/>
      <w:pPr>
        <w:tabs>
          <w:tab w:val="num" w:pos="360"/>
        </w:tabs>
        <w:ind w:left="360" w:hanging="360"/>
      </w:pPr>
      <w:rPr>
        <w:rFonts w:ascii="Symbol" w:hAnsi="Symbol" w:hint="default"/>
      </w:rPr>
    </w:lvl>
    <w:lvl w:ilvl="1" w:tplc="B2921DBE">
      <w:start w:val="1"/>
      <w:numFmt w:val="lowerLetter"/>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14E5202"/>
    <w:multiLevelType w:val="hybridMultilevel"/>
    <w:tmpl w:val="DEDA104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2444338"/>
    <w:multiLevelType w:val="multilevel"/>
    <w:tmpl w:val="F0384F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5E372D8C"/>
    <w:multiLevelType w:val="hybridMultilevel"/>
    <w:tmpl w:val="307A48F8"/>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9" w15:restartNumberingAfterBreak="0">
    <w:nsid w:val="61181591"/>
    <w:multiLevelType w:val="hybridMultilevel"/>
    <w:tmpl w:val="07E4287C"/>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0" w15:restartNumberingAfterBreak="0">
    <w:nsid w:val="616C3EFB"/>
    <w:multiLevelType w:val="hybridMultilevel"/>
    <w:tmpl w:val="CEDA1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1ED0B06"/>
    <w:multiLevelType w:val="hybridMultilevel"/>
    <w:tmpl w:val="0C429D6C"/>
    <w:lvl w:ilvl="0" w:tplc="B4ACD360">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2" w15:restartNumberingAfterBreak="0">
    <w:nsid w:val="63DB25B4"/>
    <w:multiLevelType w:val="hybridMultilevel"/>
    <w:tmpl w:val="13F63B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49B5FA5"/>
    <w:multiLevelType w:val="hybridMultilevel"/>
    <w:tmpl w:val="0CD4A3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7E764AA"/>
    <w:multiLevelType w:val="hybridMultilevel"/>
    <w:tmpl w:val="2DE86E68"/>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8F5525F"/>
    <w:multiLevelType w:val="hybridMultilevel"/>
    <w:tmpl w:val="EB1C1E0C"/>
    <w:lvl w:ilvl="0" w:tplc="4670BD7C">
      <w:start w:val="1"/>
      <w:numFmt w:val="decimal"/>
      <w:lvlText w:val="%1."/>
      <w:lvlJc w:val="left"/>
      <w:pPr>
        <w:ind w:left="720" w:hanging="360"/>
      </w:pPr>
      <w:rPr>
        <w:color w:val="1F497D"/>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6" w15:restartNumberingAfterBreak="0">
    <w:nsid w:val="691D3C31"/>
    <w:multiLevelType w:val="hybridMultilevel"/>
    <w:tmpl w:val="D932DE36"/>
    <w:lvl w:ilvl="0" w:tplc="08090001">
      <w:start w:val="1"/>
      <w:numFmt w:val="bullet"/>
      <w:lvlText w:val=""/>
      <w:lvlJc w:val="left"/>
      <w:pPr>
        <w:tabs>
          <w:tab w:val="num" w:pos="1080"/>
        </w:tabs>
        <w:ind w:left="108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7" w15:restartNumberingAfterBreak="0">
    <w:nsid w:val="6B47533A"/>
    <w:multiLevelType w:val="hybridMultilevel"/>
    <w:tmpl w:val="40EC29DA"/>
    <w:lvl w:ilvl="0" w:tplc="F0800DD0">
      <w:start w:val="1"/>
      <w:numFmt w:val="decimal"/>
      <w:lvlText w:val="%1."/>
      <w:lvlJc w:val="left"/>
      <w:pPr>
        <w:tabs>
          <w:tab w:val="num" w:pos="720"/>
        </w:tabs>
        <w:ind w:left="720" w:hanging="360"/>
      </w:pPr>
    </w:lvl>
    <w:lvl w:ilvl="1" w:tplc="3266005A">
      <w:start w:val="1"/>
      <w:numFmt w:val="decimal"/>
      <w:lvlText w:val="%2."/>
      <w:lvlJc w:val="left"/>
      <w:pPr>
        <w:tabs>
          <w:tab w:val="num" w:pos="1440"/>
        </w:tabs>
        <w:ind w:left="1440" w:hanging="360"/>
      </w:pPr>
    </w:lvl>
    <w:lvl w:ilvl="2" w:tplc="B8BEE892" w:tentative="1">
      <w:start w:val="1"/>
      <w:numFmt w:val="decimal"/>
      <w:lvlText w:val="%3."/>
      <w:lvlJc w:val="left"/>
      <w:pPr>
        <w:tabs>
          <w:tab w:val="num" w:pos="2160"/>
        </w:tabs>
        <w:ind w:left="2160" w:hanging="360"/>
      </w:pPr>
    </w:lvl>
    <w:lvl w:ilvl="3" w:tplc="E0A6FFCE" w:tentative="1">
      <w:start w:val="1"/>
      <w:numFmt w:val="decimal"/>
      <w:lvlText w:val="%4."/>
      <w:lvlJc w:val="left"/>
      <w:pPr>
        <w:tabs>
          <w:tab w:val="num" w:pos="2880"/>
        </w:tabs>
        <w:ind w:left="2880" w:hanging="360"/>
      </w:pPr>
    </w:lvl>
    <w:lvl w:ilvl="4" w:tplc="13D6529C" w:tentative="1">
      <w:start w:val="1"/>
      <w:numFmt w:val="decimal"/>
      <w:lvlText w:val="%5."/>
      <w:lvlJc w:val="left"/>
      <w:pPr>
        <w:tabs>
          <w:tab w:val="num" w:pos="3600"/>
        </w:tabs>
        <w:ind w:left="3600" w:hanging="360"/>
      </w:pPr>
    </w:lvl>
    <w:lvl w:ilvl="5" w:tplc="816CA3E6" w:tentative="1">
      <w:start w:val="1"/>
      <w:numFmt w:val="decimal"/>
      <w:lvlText w:val="%6."/>
      <w:lvlJc w:val="left"/>
      <w:pPr>
        <w:tabs>
          <w:tab w:val="num" w:pos="4320"/>
        </w:tabs>
        <w:ind w:left="4320" w:hanging="360"/>
      </w:pPr>
    </w:lvl>
    <w:lvl w:ilvl="6" w:tplc="39B44218" w:tentative="1">
      <w:start w:val="1"/>
      <w:numFmt w:val="decimal"/>
      <w:lvlText w:val="%7."/>
      <w:lvlJc w:val="left"/>
      <w:pPr>
        <w:tabs>
          <w:tab w:val="num" w:pos="5040"/>
        </w:tabs>
        <w:ind w:left="5040" w:hanging="360"/>
      </w:pPr>
    </w:lvl>
    <w:lvl w:ilvl="7" w:tplc="FE4C66B8" w:tentative="1">
      <w:start w:val="1"/>
      <w:numFmt w:val="decimal"/>
      <w:lvlText w:val="%8."/>
      <w:lvlJc w:val="left"/>
      <w:pPr>
        <w:tabs>
          <w:tab w:val="num" w:pos="5760"/>
        </w:tabs>
        <w:ind w:left="5760" w:hanging="360"/>
      </w:pPr>
    </w:lvl>
    <w:lvl w:ilvl="8" w:tplc="37D2E398" w:tentative="1">
      <w:start w:val="1"/>
      <w:numFmt w:val="decimal"/>
      <w:lvlText w:val="%9."/>
      <w:lvlJc w:val="left"/>
      <w:pPr>
        <w:tabs>
          <w:tab w:val="num" w:pos="6480"/>
        </w:tabs>
        <w:ind w:left="6480" w:hanging="360"/>
      </w:pPr>
    </w:lvl>
  </w:abstractNum>
  <w:abstractNum w:abstractNumId="38" w15:restartNumberingAfterBreak="0">
    <w:nsid w:val="6C401361"/>
    <w:multiLevelType w:val="hybridMultilevel"/>
    <w:tmpl w:val="2A7AD4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772E75A0"/>
    <w:multiLevelType w:val="hybridMultilevel"/>
    <w:tmpl w:val="580083B2"/>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40" w15:restartNumberingAfterBreak="0">
    <w:nsid w:val="77ED122F"/>
    <w:multiLevelType w:val="hybridMultilevel"/>
    <w:tmpl w:val="CA20B320"/>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41" w15:restartNumberingAfterBreak="0">
    <w:nsid w:val="7B3B6AAF"/>
    <w:multiLevelType w:val="hybridMultilevel"/>
    <w:tmpl w:val="4616374C"/>
    <w:lvl w:ilvl="0" w:tplc="DA14AF4A">
      <w:start w:val="1"/>
      <w:numFmt w:val="decimal"/>
      <w:lvlText w:val="%1."/>
      <w:lvlJc w:val="left"/>
      <w:pPr>
        <w:ind w:left="420" w:hanging="375"/>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42" w15:restartNumberingAfterBreak="0">
    <w:nsid w:val="7D726183"/>
    <w:multiLevelType w:val="hybridMultilevel"/>
    <w:tmpl w:val="98406CC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DD102B8"/>
    <w:multiLevelType w:val="hybridMultilevel"/>
    <w:tmpl w:val="88385F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F083A53"/>
    <w:multiLevelType w:val="hybridMultilevel"/>
    <w:tmpl w:val="92AC7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1"/>
  </w:num>
  <w:num w:numId="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2"/>
  </w:num>
  <w:num w:numId="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5"/>
  </w:num>
  <w:num w:numId="7">
    <w:abstractNumId w:val="3"/>
  </w:num>
  <w:num w:numId="8">
    <w:abstractNumId w:val="34"/>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8"/>
  </w:num>
  <w:num w:numId="1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24"/>
  </w:num>
  <w:num w:numId="21">
    <w:abstractNumId w:val="19"/>
  </w:num>
  <w:num w:numId="2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num>
  <w:num w:numId="24">
    <w:abstractNumId w:val="8"/>
  </w:num>
  <w:num w:numId="25">
    <w:abstractNumId w:val="7"/>
  </w:num>
  <w:num w:numId="26">
    <w:abstractNumId w:val="32"/>
  </w:num>
  <w:num w:numId="27">
    <w:abstractNumId w:val="44"/>
  </w:num>
  <w:num w:numId="28">
    <w:abstractNumId w:val="30"/>
  </w:num>
  <w:num w:numId="29">
    <w:abstractNumId w:val="20"/>
  </w:num>
  <w:num w:numId="30">
    <w:abstractNumId w:val="43"/>
  </w:num>
  <w:num w:numId="31">
    <w:abstractNumId w:val="37"/>
  </w:num>
  <w:num w:numId="32">
    <w:abstractNumId w:val="31"/>
  </w:num>
  <w:num w:numId="33">
    <w:abstractNumId w:val="6"/>
  </w:num>
  <w:num w:numId="34">
    <w:abstractNumId w:val="26"/>
  </w:num>
  <w:num w:numId="35">
    <w:abstractNumId w:val="9"/>
  </w:num>
  <w:num w:numId="36">
    <w:abstractNumId w:val="1"/>
  </w:num>
  <w:num w:numId="37">
    <w:abstractNumId w:val="17"/>
  </w:num>
  <w:num w:numId="38">
    <w:abstractNumId w:val="15"/>
  </w:num>
  <w:num w:numId="39">
    <w:abstractNumId w:val="12"/>
  </w:num>
  <w:num w:numId="40">
    <w:abstractNumId w:val="21"/>
  </w:num>
  <w:num w:numId="41">
    <w:abstractNumId w:val="22"/>
  </w:num>
  <w:num w:numId="4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num>
  <w:num w:numId="44">
    <w:abstractNumId w:val="33"/>
  </w:num>
  <w:num w:numId="45">
    <w:abstractNumId w:val="5"/>
  </w:num>
  <w:num w:numId="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2872"/>
    <w:rsid w:val="000002CE"/>
    <w:rsid w:val="00046815"/>
    <w:rsid w:val="00054FFC"/>
    <w:rsid w:val="00071A6B"/>
    <w:rsid w:val="000B7BC5"/>
    <w:rsid w:val="000C3692"/>
    <w:rsid w:val="000C3A09"/>
    <w:rsid w:val="00105A54"/>
    <w:rsid w:val="001063E5"/>
    <w:rsid w:val="001300B4"/>
    <w:rsid w:val="00160F3D"/>
    <w:rsid w:val="00172EF6"/>
    <w:rsid w:val="001F061E"/>
    <w:rsid w:val="0028526D"/>
    <w:rsid w:val="003118F0"/>
    <w:rsid w:val="0031339D"/>
    <w:rsid w:val="0032393E"/>
    <w:rsid w:val="003B7D33"/>
    <w:rsid w:val="003D7B58"/>
    <w:rsid w:val="004019AE"/>
    <w:rsid w:val="00440CA4"/>
    <w:rsid w:val="004B42B7"/>
    <w:rsid w:val="004D71EC"/>
    <w:rsid w:val="004E4B8B"/>
    <w:rsid w:val="004E7182"/>
    <w:rsid w:val="00520FD3"/>
    <w:rsid w:val="00524260"/>
    <w:rsid w:val="00567E5E"/>
    <w:rsid w:val="005F181D"/>
    <w:rsid w:val="006013F9"/>
    <w:rsid w:val="00653138"/>
    <w:rsid w:val="00680F60"/>
    <w:rsid w:val="006968F3"/>
    <w:rsid w:val="006E210A"/>
    <w:rsid w:val="006E6181"/>
    <w:rsid w:val="00704402"/>
    <w:rsid w:val="00793FD5"/>
    <w:rsid w:val="007B6A01"/>
    <w:rsid w:val="007C1531"/>
    <w:rsid w:val="007D6C87"/>
    <w:rsid w:val="008125F6"/>
    <w:rsid w:val="00813503"/>
    <w:rsid w:val="00836289"/>
    <w:rsid w:val="00841EC0"/>
    <w:rsid w:val="00882872"/>
    <w:rsid w:val="0089288C"/>
    <w:rsid w:val="008B16F2"/>
    <w:rsid w:val="008B49AE"/>
    <w:rsid w:val="008C1A81"/>
    <w:rsid w:val="00936FB7"/>
    <w:rsid w:val="00940B25"/>
    <w:rsid w:val="00942021"/>
    <w:rsid w:val="00973012"/>
    <w:rsid w:val="009C6732"/>
    <w:rsid w:val="00A0230B"/>
    <w:rsid w:val="00A34F5A"/>
    <w:rsid w:val="00A3650B"/>
    <w:rsid w:val="00A3669A"/>
    <w:rsid w:val="00AB269E"/>
    <w:rsid w:val="00AC52AF"/>
    <w:rsid w:val="00B241A4"/>
    <w:rsid w:val="00B355F5"/>
    <w:rsid w:val="00B94DF9"/>
    <w:rsid w:val="00B97000"/>
    <w:rsid w:val="00C04A56"/>
    <w:rsid w:val="00C135A2"/>
    <w:rsid w:val="00C43668"/>
    <w:rsid w:val="00CF2D2E"/>
    <w:rsid w:val="00DC6E18"/>
    <w:rsid w:val="00E44C46"/>
    <w:rsid w:val="00E4576F"/>
    <w:rsid w:val="00E63730"/>
    <w:rsid w:val="00EA2BAC"/>
    <w:rsid w:val="00EB1526"/>
    <w:rsid w:val="00F12809"/>
    <w:rsid w:val="00FA4E03"/>
    <w:rsid w:val="00FC15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14991"/>
  <w15:docId w15:val="{51591D09-292D-4355-BFDE-3E8408365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526D"/>
    <w:pPr>
      <w:spacing w:after="0" w:line="240" w:lineRule="auto"/>
    </w:pPr>
    <w:rPr>
      <w:rFonts w:ascii="Calibri" w:hAnsi="Calibri" w:cs="Calibri"/>
      <w:sz w:val="24"/>
      <w:szCs w:val="24"/>
    </w:rPr>
  </w:style>
  <w:style w:type="paragraph" w:styleId="Heading1">
    <w:name w:val="heading 1"/>
    <w:basedOn w:val="Normal"/>
    <w:next w:val="Normal"/>
    <w:link w:val="Heading1Char"/>
    <w:uiPriority w:val="9"/>
    <w:qFormat/>
    <w:rsid w:val="0028526D"/>
    <w:pPr>
      <w:keepNext/>
      <w:keepLines/>
      <w:spacing w:before="480"/>
      <w:outlineLvl w:val="0"/>
    </w:pPr>
    <w:rPr>
      <w:rFonts w:eastAsiaTheme="majorEastAsia"/>
      <w:b/>
      <w:bCs/>
      <w:color w:val="365F91" w:themeColor="accent1" w:themeShade="BF"/>
      <w:sz w:val="28"/>
      <w:szCs w:val="28"/>
    </w:rPr>
  </w:style>
  <w:style w:type="paragraph" w:styleId="Heading2">
    <w:name w:val="heading 2"/>
    <w:basedOn w:val="Normal"/>
    <w:next w:val="Normal"/>
    <w:link w:val="Heading2Char"/>
    <w:uiPriority w:val="9"/>
    <w:unhideWhenUsed/>
    <w:qFormat/>
    <w:rsid w:val="0028526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8526D"/>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8526D"/>
    <w:pPr>
      <w:spacing w:after="0" w:line="240" w:lineRule="auto"/>
    </w:pPr>
    <w:rPr>
      <w:rFonts w:ascii="Calibri" w:hAnsi="Calibri" w:cs="Calibri"/>
      <w:sz w:val="24"/>
      <w:szCs w:val="24"/>
    </w:rPr>
  </w:style>
  <w:style w:type="character" w:customStyle="1" w:styleId="Heading1Char">
    <w:name w:val="Heading 1 Char"/>
    <w:basedOn w:val="DefaultParagraphFont"/>
    <w:link w:val="Heading1"/>
    <w:uiPriority w:val="9"/>
    <w:rsid w:val="0028526D"/>
    <w:rPr>
      <w:rFonts w:ascii="Calibri" w:eastAsiaTheme="majorEastAsia" w:hAnsi="Calibri" w:cs="Calibri"/>
      <w:b/>
      <w:bCs/>
      <w:color w:val="365F91" w:themeColor="accent1" w:themeShade="BF"/>
      <w:sz w:val="28"/>
      <w:szCs w:val="28"/>
    </w:rPr>
  </w:style>
  <w:style w:type="character" w:customStyle="1" w:styleId="Heading2Char">
    <w:name w:val="Heading 2 Char"/>
    <w:basedOn w:val="DefaultParagraphFont"/>
    <w:link w:val="Heading2"/>
    <w:uiPriority w:val="9"/>
    <w:rsid w:val="0028526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8526D"/>
    <w:rPr>
      <w:rFonts w:asciiTheme="majorHAnsi" w:eastAsiaTheme="majorEastAsia" w:hAnsiTheme="majorHAnsi" w:cstheme="majorBidi"/>
      <w:b/>
      <w:bCs/>
      <w:color w:val="4F81BD" w:themeColor="accent1"/>
      <w:sz w:val="24"/>
      <w:szCs w:val="24"/>
    </w:rPr>
  </w:style>
  <w:style w:type="paragraph" w:styleId="Title">
    <w:name w:val="Title"/>
    <w:basedOn w:val="Normal"/>
    <w:next w:val="Normal"/>
    <w:link w:val="TitleChar"/>
    <w:uiPriority w:val="10"/>
    <w:qFormat/>
    <w:rsid w:val="0028526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8526D"/>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28526D"/>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28526D"/>
    <w:rPr>
      <w:rFonts w:asciiTheme="majorHAnsi" w:eastAsiaTheme="majorEastAsia" w:hAnsiTheme="majorHAnsi" w:cstheme="majorBidi"/>
      <w:i/>
      <w:iCs/>
      <w:color w:val="4F81BD" w:themeColor="accent1"/>
      <w:spacing w:val="15"/>
      <w:sz w:val="24"/>
      <w:szCs w:val="24"/>
    </w:rPr>
  </w:style>
  <w:style w:type="character" w:customStyle="1" w:styleId="yiv8286483784">
    <w:name w:val="yiv8286483784"/>
    <w:basedOn w:val="DefaultParagraphFont"/>
    <w:rsid w:val="00882872"/>
  </w:style>
  <w:style w:type="paragraph" w:styleId="ListParagraph">
    <w:name w:val="List Paragraph"/>
    <w:basedOn w:val="Normal"/>
    <w:uiPriority w:val="34"/>
    <w:qFormat/>
    <w:rsid w:val="00882872"/>
    <w:pPr>
      <w:ind w:left="720"/>
      <w:contextualSpacing/>
    </w:pPr>
  </w:style>
  <w:style w:type="character" w:styleId="Emphasis">
    <w:name w:val="Emphasis"/>
    <w:basedOn w:val="DefaultParagraphFont"/>
    <w:uiPriority w:val="20"/>
    <w:qFormat/>
    <w:rsid w:val="00172EF6"/>
    <w:rPr>
      <w:i/>
      <w:iCs/>
    </w:rPr>
  </w:style>
  <w:style w:type="character" w:styleId="Strong">
    <w:name w:val="Strong"/>
    <w:basedOn w:val="DefaultParagraphFont"/>
    <w:uiPriority w:val="22"/>
    <w:qFormat/>
    <w:rsid w:val="00172EF6"/>
    <w:rPr>
      <w:b/>
      <w:bCs/>
    </w:rPr>
  </w:style>
  <w:style w:type="paragraph" w:styleId="BalloonText">
    <w:name w:val="Balloon Text"/>
    <w:basedOn w:val="Normal"/>
    <w:link w:val="BalloonTextChar"/>
    <w:uiPriority w:val="99"/>
    <w:semiHidden/>
    <w:unhideWhenUsed/>
    <w:rsid w:val="00AC52AF"/>
    <w:rPr>
      <w:rFonts w:ascii="Tahoma" w:hAnsi="Tahoma" w:cs="Tahoma"/>
      <w:sz w:val="16"/>
      <w:szCs w:val="16"/>
    </w:rPr>
  </w:style>
  <w:style w:type="character" w:customStyle="1" w:styleId="BalloonTextChar">
    <w:name w:val="Balloon Text Char"/>
    <w:basedOn w:val="DefaultParagraphFont"/>
    <w:link w:val="BalloonText"/>
    <w:uiPriority w:val="99"/>
    <w:semiHidden/>
    <w:rsid w:val="00AC52AF"/>
    <w:rPr>
      <w:rFonts w:ascii="Tahoma" w:hAnsi="Tahoma" w:cs="Tahoma"/>
      <w:sz w:val="16"/>
      <w:szCs w:val="16"/>
    </w:rPr>
  </w:style>
  <w:style w:type="paragraph" w:styleId="Header">
    <w:name w:val="header"/>
    <w:basedOn w:val="Normal"/>
    <w:link w:val="HeaderChar"/>
    <w:uiPriority w:val="99"/>
    <w:unhideWhenUsed/>
    <w:rsid w:val="00AC52AF"/>
    <w:pPr>
      <w:tabs>
        <w:tab w:val="center" w:pos="4513"/>
        <w:tab w:val="right" w:pos="9026"/>
      </w:tabs>
    </w:pPr>
  </w:style>
  <w:style w:type="character" w:customStyle="1" w:styleId="HeaderChar">
    <w:name w:val="Header Char"/>
    <w:basedOn w:val="DefaultParagraphFont"/>
    <w:link w:val="Header"/>
    <w:uiPriority w:val="99"/>
    <w:rsid w:val="00AC52AF"/>
    <w:rPr>
      <w:rFonts w:ascii="Calibri" w:hAnsi="Calibri" w:cs="Calibri"/>
      <w:sz w:val="24"/>
      <w:szCs w:val="24"/>
    </w:rPr>
  </w:style>
  <w:style w:type="paragraph" w:styleId="Footer">
    <w:name w:val="footer"/>
    <w:basedOn w:val="Normal"/>
    <w:link w:val="FooterChar"/>
    <w:uiPriority w:val="99"/>
    <w:unhideWhenUsed/>
    <w:rsid w:val="00AC52AF"/>
    <w:pPr>
      <w:tabs>
        <w:tab w:val="center" w:pos="4513"/>
        <w:tab w:val="right" w:pos="9026"/>
      </w:tabs>
    </w:pPr>
  </w:style>
  <w:style w:type="character" w:customStyle="1" w:styleId="FooterChar">
    <w:name w:val="Footer Char"/>
    <w:basedOn w:val="DefaultParagraphFont"/>
    <w:link w:val="Footer"/>
    <w:uiPriority w:val="99"/>
    <w:rsid w:val="00AC52AF"/>
    <w:rPr>
      <w:rFonts w:ascii="Calibri" w:hAnsi="Calibri" w:cs="Calibri"/>
      <w:sz w:val="24"/>
      <w:szCs w:val="24"/>
    </w:rPr>
  </w:style>
  <w:style w:type="paragraph" w:styleId="NormalWeb">
    <w:name w:val="Normal (Web)"/>
    <w:basedOn w:val="Normal"/>
    <w:uiPriority w:val="99"/>
    <w:unhideWhenUsed/>
    <w:rsid w:val="00936FB7"/>
    <w:rPr>
      <w:rFonts w:ascii="Times New Roman" w:hAnsi="Times New Roman" w:cs="Times New Roman"/>
      <w:lang w:eastAsia="en-GB"/>
    </w:rPr>
  </w:style>
  <w:style w:type="character" w:customStyle="1" w:styleId="cit-print-date">
    <w:name w:val="cit-print-date"/>
    <w:basedOn w:val="DefaultParagraphFont"/>
    <w:rsid w:val="00160F3D"/>
  </w:style>
  <w:style w:type="character" w:customStyle="1" w:styleId="cit-vol">
    <w:name w:val="cit-vol"/>
    <w:basedOn w:val="DefaultParagraphFont"/>
    <w:rsid w:val="00160F3D"/>
  </w:style>
  <w:style w:type="character" w:customStyle="1" w:styleId="cit-sep2">
    <w:name w:val="cit-sep2"/>
    <w:basedOn w:val="DefaultParagraphFont"/>
    <w:rsid w:val="00160F3D"/>
  </w:style>
  <w:style w:type="character" w:customStyle="1" w:styleId="cit-first-page">
    <w:name w:val="cit-first-page"/>
    <w:basedOn w:val="DefaultParagraphFont"/>
    <w:rsid w:val="00160F3D"/>
  </w:style>
  <w:style w:type="character" w:customStyle="1" w:styleId="cit-last-page2">
    <w:name w:val="cit-last-page2"/>
    <w:basedOn w:val="DefaultParagraphFont"/>
    <w:rsid w:val="00160F3D"/>
  </w:style>
  <w:style w:type="character" w:customStyle="1" w:styleId="cit-auth2">
    <w:name w:val="cit-auth2"/>
    <w:basedOn w:val="DefaultParagraphFont"/>
    <w:rsid w:val="00160F3D"/>
  </w:style>
  <w:style w:type="character" w:styleId="HTMLCite">
    <w:name w:val="HTML Cite"/>
    <w:basedOn w:val="DefaultParagraphFont"/>
    <w:uiPriority w:val="99"/>
    <w:semiHidden/>
    <w:unhideWhenUsed/>
    <w:rsid w:val="00160F3D"/>
    <w:rPr>
      <w:i/>
      <w:iCs/>
    </w:rPr>
  </w:style>
  <w:style w:type="paragraph" w:styleId="PlainText">
    <w:name w:val="Plain Text"/>
    <w:basedOn w:val="Normal"/>
    <w:link w:val="PlainTextChar"/>
    <w:uiPriority w:val="99"/>
    <w:unhideWhenUsed/>
    <w:rsid w:val="00B94DF9"/>
    <w:rPr>
      <w:rFonts w:cs="Times New Roman"/>
      <w:sz w:val="22"/>
      <w:szCs w:val="22"/>
      <w:lang w:eastAsia="en-GB"/>
    </w:rPr>
  </w:style>
  <w:style w:type="character" w:customStyle="1" w:styleId="PlainTextChar">
    <w:name w:val="Plain Text Char"/>
    <w:basedOn w:val="DefaultParagraphFont"/>
    <w:link w:val="PlainText"/>
    <w:uiPriority w:val="99"/>
    <w:rsid w:val="00B94DF9"/>
    <w:rPr>
      <w:rFonts w:ascii="Calibri" w:hAnsi="Calibri" w:cs="Times New Roman"/>
      <w:lang w:eastAsia="en-GB"/>
    </w:rPr>
  </w:style>
  <w:style w:type="character" w:customStyle="1" w:styleId="slug-pub-date">
    <w:name w:val="slug-pub-date"/>
    <w:basedOn w:val="DefaultParagraphFont"/>
    <w:rsid w:val="007C1531"/>
  </w:style>
  <w:style w:type="character" w:customStyle="1" w:styleId="slug-vol">
    <w:name w:val="slug-vol"/>
    <w:basedOn w:val="DefaultParagraphFont"/>
    <w:rsid w:val="007C1531"/>
  </w:style>
  <w:style w:type="character" w:customStyle="1" w:styleId="slug-issue">
    <w:name w:val="slug-issue"/>
    <w:basedOn w:val="DefaultParagraphFont"/>
    <w:rsid w:val="007C1531"/>
  </w:style>
  <w:style w:type="character" w:customStyle="1" w:styleId="slug-pages">
    <w:name w:val="slug-pages"/>
    <w:basedOn w:val="DefaultParagraphFont"/>
    <w:rsid w:val="007C1531"/>
  </w:style>
  <w:style w:type="character" w:customStyle="1" w:styleId="bibrecord-highlight-user">
    <w:name w:val="bibrecord-highlight-user"/>
    <w:basedOn w:val="DefaultParagraphFont"/>
    <w:rsid w:val="007C1531"/>
  </w:style>
  <w:style w:type="character" w:customStyle="1" w:styleId="titles-source">
    <w:name w:val="titles-source"/>
    <w:basedOn w:val="DefaultParagraphFont"/>
    <w:rsid w:val="007C1531"/>
  </w:style>
  <w:style w:type="character" w:styleId="Hyperlink">
    <w:name w:val="Hyperlink"/>
    <w:basedOn w:val="DefaultParagraphFont"/>
    <w:uiPriority w:val="99"/>
    <w:unhideWhenUsed/>
    <w:rsid w:val="0089288C"/>
    <w:rPr>
      <w:color w:val="0000FF" w:themeColor="hyperlink"/>
      <w:u w:val="single"/>
    </w:rPr>
  </w:style>
  <w:style w:type="character" w:customStyle="1" w:styleId="selectable">
    <w:name w:val="selectable"/>
    <w:basedOn w:val="DefaultParagraphFont"/>
    <w:rsid w:val="0089288C"/>
  </w:style>
  <w:style w:type="character" w:styleId="FollowedHyperlink">
    <w:name w:val="FollowedHyperlink"/>
    <w:basedOn w:val="DefaultParagraphFont"/>
    <w:uiPriority w:val="99"/>
    <w:semiHidden/>
    <w:unhideWhenUsed/>
    <w:rsid w:val="0089288C"/>
    <w:rPr>
      <w:color w:val="800080" w:themeColor="followedHyperlink"/>
      <w:u w:val="single"/>
    </w:rPr>
  </w:style>
  <w:style w:type="paragraph" w:customStyle="1" w:styleId="Body">
    <w:name w:val="Body"/>
    <w:rsid w:val="003118F0"/>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n-US" w:eastAsia="en-GB"/>
    </w:rPr>
  </w:style>
  <w:style w:type="numbering" w:customStyle="1" w:styleId="Numbered">
    <w:name w:val="Numbered"/>
    <w:rsid w:val="003118F0"/>
    <w:pPr>
      <w:numPr>
        <w:numId w:val="39"/>
      </w:numPr>
    </w:pPr>
  </w:style>
  <w:style w:type="character" w:customStyle="1" w:styleId="authors">
    <w:name w:val="authors"/>
    <w:basedOn w:val="DefaultParagraphFont"/>
    <w:rsid w:val="00E63730"/>
  </w:style>
  <w:style w:type="character" w:customStyle="1" w:styleId="Date1">
    <w:name w:val="Date1"/>
    <w:basedOn w:val="DefaultParagraphFont"/>
    <w:rsid w:val="00E63730"/>
  </w:style>
  <w:style w:type="character" w:customStyle="1" w:styleId="arttitle">
    <w:name w:val="art_title"/>
    <w:basedOn w:val="DefaultParagraphFont"/>
    <w:rsid w:val="00E63730"/>
  </w:style>
  <w:style w:type="character" w:customStyle="1" w:styleId="serialtitle">
    <w:name w:val="serial_title"/>
    <w:basedOn w:val="DefaultParagraphFont"/>
    <w:rsid w:val="00E63730"/>
  </w:style>
  <w:style w:type="character" w:customStyle="1" w:styleId="volumeissue">
    <w:name w:val="volume_issue"/>
    <w:basedOn w:val="DefaultParagraphFont"/>
    <w:rsid w:val="00E63730"/>
  </w:style>
  <w:style w:type="character" w:customStyle="1" w:styleId="pagerange">
    <w:name w:val="page_range"/>
    <w:basedOn w:val="DefaultParagraphFont"/>
    <w:rsid w:val="00E63730"/>
  </w:style>
  <w:style w:type="character" w:customStyle="1" w:styleId="doilink">
    <w:name w:val="doi_link"/>
    <w:basedOn w:val="DefaultParagraphFont"/>
    <w:rsid w:val="00E63730"/>
  </w:style>
  <w:style w:type="character" w:customStyle="1" w:styleId="commaitem">
    <w:name w:val="comma__item"/>
    <w:basedOn w:val="DefaultParagraphFont"/>
    <w:rsid w:val="00E63730"/>
  </w:style>
  <w:style w:type="paragraph" w:customStyle="1" w:styleId="xmsonormal">
    <w:name w:val="x_msonormal"/>
    <w:basedOn w:val="Normal"/>
    <w:rsid w:val="00E63730"/>
    <w:rPr>
      <w:sz w:val="22"/>
      <w:szCs w:val="22"/>
      <w:lang w:eastAsia="en-GB"/>
    </w:rPr>
  </w:style>
  <w:style w:type="paragraph" w:customStyle="1" w:styleId="xmsolistparagraph">
    <w:name w:val="x_msolistparagraph"/>
    <w:basedOn w:val="Normal"/>
    <w:rsid w:val="00E63730"/>
    <w:pPr>
      <w:ind w:left="720"/>
    </w:pPr>
    <w:rPr>
      <w:sz w:val="22"/>
      <w:szCs w:val="22"/>
      <w:lang w:eastAsia="en-GB"/>
    </w:rPr>
  </w:style>
  <w:style w:type="character" w:styleId="UnresolvedMention">
    <w:name w:val="Unresolved Mention"/>
    <w:basedOn w:val="DefaultParagraphFont"/>
    <w:uiPriority w:val="99"/>
    <w:semiHidden/>
    <w:unhideWhenUsed/>
    <w:rsid w:val="000468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152818">
      <w:bodyDiv w:val="1"/>
      <w:marLeft w:val="0"/>
      <w:marRight w:val="0"/>
      <w:marTop w:val="0"/>
      <w:marBottom w:val="0"/>
      <w:divBdr>
        <w:top w:val="none" w:sz="0" w:space="0" w:color="auto"/>
        <w:left w:val="none" w:sz="0" w:space="0" w:color="auto"/>
        <w:bottom w:val="none" w:sz="0" w:space="0" w:color="auto"/>
        <w:right w:val="none" w:sz="0" w:space="0" w:color="auto"/>
      </w:divBdr>
    </w:div>
    <w:div w:id="116921956">
      <w:bodyDiv w:val="1"/>
      <w:marLeft w:val="0"/>
      <w:marRight w:val="0"/>
      <w:marTop w:val="0"/>
      <w:marBottom w:val="0"/>
      <w:divBdr>
        <w:top w:val="none" w:sz="0" w:space="0" w:color="auto"/>
        <w:left w:val="none" w:sz="0" w:space="0" w:color="auto"/>
        <w:bottom w:val="none" w:sz="0" w:space="0" w:color="auto"/>
        <w:right w:val="none" w:sz="0" w:space="0" w:color="auto"/>
      </w:divBdr>
    </w:div>
    <w:div w:id="360740897">
      <w:bodyDiv w:val="1"/>
      <w:marLeft w:val="0"/>
      <w:marRight w:val="0"/>
      <w:marTop w:val="0"/>
      <w:marBottom w:val="0"/>
      <w:divBdr>
        <w:top w:val="none" w:sz="0" w:space="0" w:color="auto"/>
        <w:left w:val="none" w:sz="0" w:space="0" w:color="auto"/>
        <w:bottom w:val="none" w:sz="0" w:space="0" w:color="auto"/>
        <w:right w:val="none" w:sz="0" w:space="0" w:color="auto"/>
      </w:divBdr>
    </w:div>
    <w:div w:id="362901065">
      <w:bodyDiv w:val="1"/>
      <w:marLeft w:val="0"/>
      <w:marRight w:val="0"/>
      <w:marTop w:val="0"/>
      <w:marBottom w:val="0"/>
      <w:divBdr>
        <w:top w:val="none" w:sz="0" w:space="0" w:color="auto"/>
        <w:left w:val="none" w:sz="0" w:space="0" w:color="auto"/>
        <w:bottom w:val="none" w:sz="0" w:space="0" w:color="auto"/>
        <w:right w:val="none" w:sz="0" w:space="0" w:color="auto"/>
      </w:divBdr>
    </w:div>
    <w:div w:id="395781096">
      <w:bodyDiv w:val="1"/>
      <w:marLeft w:val="0"/>
      <w:marRight w:val="0"/>
      <w:marTop w:val="0"/>
      <w:marBottom w:val="0"/>
      <w:divBdr>
        <w:top w:val="none" w:sz="0" w:space="0" w:color="auto"/>
        <w:left w:val="none" w:sz="0" w:space="0" w:color="auto"/>
        <w:bottom w:val="none" w:sz="0" w:space="0" w:color="auto"/>
        <w:right w:val="none" w:sz="0" w:space="0" w:color="auto"/>
      </w:divBdr>
    </w:div>
    <w:div w:id="419789503">
      <w:bodyDiv w:val="1"/>
      <w:marLeft w:val="0"/>
      <w:marRight w:val="0"/>
      <w:marTop w:val="0"/>
      <w:marBottom w:val="0"/>
      <w:divBdr>
        <w:top w:val="none" w:sz="0" w:space="0" w:color="auto"/>
        <w:left w:val="none" w:sz="0" w:space="0" w:color="auto"/>
        <w:bottom w:val="none" w:sz="0" w:space="0" w:color="auto"/>
        <w:right w:val="none" w:sz="0" w:space="0" w:color="auto"/>
      </w:divBdr>
    </w:div>
    <w:div w:id="431511328">
      <w:bodyDiv w:val="1"/>
      <w:marLeft w:val="0"/>
      <w:marRight w:val="0"/>
      <w:marTop w:val="0"/>
      <w:marBottom w:val="0"/>
      <w:divBdr>
        <w:top w:val="none" w:sz="0" w:space="0" w:color="auto"/>
        <w:left w:val="none" w:sz="0" w:space="0" w:color="auto"/>
        <w:bottom w:val="none" w:sz="0" w:space="0" w:color="auto"/>
        <w:right w:val="none" w:sz="0" w:space="0" w:color="auto"/>
      </w:divBdr>
    </w:div>
    <w:div w:id="447503518">
      <w:bodyDiv w:val="1"/>
      <w:marLeft w:val="0"/>
      <w:marRight w:val="0"/>
      <w:marTop w:val="0"/>
      <w:marBottom w:val="0"/>
      <w:divBdr>
        <w:top w:val="none" w:sz="0" w:space="0" w:color="auto"/>
        <w:left w:val="none" w:sz="0" w:space="0" w:color="auto"/>
        <w:bottom w:val="none" w:sz="0" w:space="0" w:color="auto"/>
        <w:right w:val="none" w:sz="0" w:space="0" w:color="auto"/>
      </w:divBdr>
    </w:div>
    <w:div w:id="520433645">
      <w:bodyDiv w:val="1"/>
      <w:marLeft w:val="0"/>
      <w:marRight w:val="0"/>
      <w:marTop w:val="0"/>
      <w:marBottom w:val="0"/>
      <w:divBdr>
        <w:top w:val="none" w:sz="0" w:space="0" w:color="auto"/>
        <w:left w:val="none" w:sz="0" w:space="0" w:color="auto"/>
        <w:bottom w:val="none" w:sz="0" w:space="0" w:color="auto"/>
        <w:right w:val="none" w:sz="0" w:space="0" w:color="auto"/>
      </w:divBdr>
    </w:div>
    <w:div w:id="527839854">
      <w:bodyDiv w:val="1"/>
      <w:marLeft w:val="0"/>
      <w:marRight w:val="0"/>
      <w:marTop w:val="0"/>
      <w:marBottom w:val="0"/>
      <w:divBdr>
        <w:top w:val="none" w:sz="0" w:space="0" w:color="auto"/>
        <w:left w:val="none" w:sz="0" w:space="0" w:color="auto"/>
        <w:bottom w:val="none" w:sz="0" w:space="0" w:color="auto"/>
        <w:right w:val="none" w:sz="0" w:space="0" w:color="auto"/>
      </w:divBdr>
    </w:div>
    <w:div w:id="528180166">
      <w:bodyDiv w:val="1"/>
      <w:marLeft w:val="0"/>
      <w:marRight w:val="0"/>
      <w:marTop w:val="0"/>
      <w:marBottom w:val="0"/>
      <w:divBdr>
        <w:top w:val="none" w:sz="0" w:space="0" w:color="auto"/>
        <w:left w:val="none" w:sz="0" w:space="0" w:color="auto"/>
        <w:bottom w:val="none" w:sz="0" w:space="0" w:color="auto"/>
        <w:right w:val="none" w:sz="0" w:space="0" w:color="auto"/>
      </w:divBdr>
    </w:div>
    <w:div w:id="538666770">
      <w:bodyDiv w:val="1"/>
      <w:marLeft w:val="0"/>
      <w:marRight w:val="0"/>
      <w:marTop w:val="0"/>
      <w:marBottom w:val="0"/>
      <w:divBdr>
        <w:top w:val="none" w:sz="0" w:space="0" w:color="auto"/>
        <w:left w:val="none" w:sz="0" w:space="0" w:color="auto"/>
        <w:bottom w:val="none" w:sz="0" w:space="0" w:color="auto"/>
        <w:right w:val="none" w:sz="0" w:space="0" w:color="auto"/>
      </w:divBdr>
    </w:div>
    <w:div w:id="551766816">
      <w:bodyDiv w:val="1"/>
      <w:marLeft w:val="0"/>
      <w:marRight w:val="0"/>
      <w:marTop w:val="0"/>
      <w:marBottom w:val="0"/>
      <w:divBdr>
        <w:top w:val="none" w:sz="0" w:space="0" w:color="auto"/>
        <w:left w:val="none" w:sz="0" w:space="0" w:color="auto"/>
        <w:bottom w:val="none" w:sz="0" w:space="0" w:color="auto"/>
        <w:right w:val="none" w:sz="0" w:space="0" w:color="auto"/>
      </w:divBdr>
    </w:div>
    <w:div w:id="556744610">
      <w:bodyDiv w:val="1"/>
      <w:marLeft w:val="0"/>
      <w:marRight w:val="0"/>
      <w:marTop w:val="0"/>
      <w:marBottom w:val="0"/>
      <w:divBdr>
        <w:top w:val="none" w:sz="0" w:space="0" w:color="auto"/>
        <w:left w:val="none" w:sz="0" w:space="0" w:color="auto"/>
        <w:bottom w:val="none" w:sz="0" w:space="0" w:color="auto"/>
        <w:right w:val="none" w:sz="0" w:space="0" w:color="auto"/>
      </w:divBdr>
    </w:div>
    <w:div w:id="560139559">
      <w:bodyDiv w:val="1"/>
      <w:marLeft w:val="0"/>
      <w:marRight w:val="0"/>
      <w:marTop w:val="0"/>
      <w:marBottom w:val="0"/>
      <w:divBdr>
        <w:top w:val="none" w:sz="0" w:space="0" w:color="auto"/>
        <w:left w:val="none" w:sz="0" w:space="0" w:color="auto"/>
        <w:bottom w:val="none" w:sz="0" w:space="0" w:color="auto"/>
        <w:right w:val="none" w:sz="0" w:space="0" w:color="auto"/>
      </w:divBdr>
    </w:div>
    <w:div w:id="591277395">
      <w:bodyDiv w:val="1"/>
      <w:marLeft w:val="0"/>
      <w:marRight w:val="0"/>
      <w:marTop w:val="0"/>
      <w:marBottom w:val="0"/>
      <w:divBdr>
        <w:top w:val="none" w:sz="0" w:space="0" w:color="auto"/>
        <w:left w:val="none" w:sz="0" w:space="0" w:color="auto"/>
        <w:bottom w:val="none" w:sz="0" w:space="0" w:color="auto"/>
        <w:right w:val="none" w:sz="0" w:space="0" w:color="auto"/>
      </w:divBdr>
    </w:div>
    <w:div w:id="599413016">
      <w:bodyDiv w:val="1"/>
      <w:marLeft w:val="0"/>
      <w:marRight w:val="0"/>
      <w:marTop w:val="0"/>
      <w:marBottom w:val="0"/>
      <w:divBdr>
        <w:top w:val="none" w:sz="0" w:space="0" w:color="auto"/>
        <w:left w:val="none" w:sz="0" w:space="0" w:color="auto"/>
        <w:bottom w:val="none" w:sz="0" w:space="0" w:color="auto"/>
        <w:right w:val="none" w:sz="0" w:space="0" w:color="auto"/>
      </w:divBdr>
    </w:div>
    <w:div w:id="662509728">
      <w:bodyDiv w:val="1"/>
      <w:marLeft w:val="0"/>
      <w:marRight w:val="0"/>
      <w:marTop w:val="0"/>
      <w:marBottom w:val="0"/>
      <w:divBdr>
        <w:top w:val="none" w:sz="0" w:space="0" w:color="auto"/>
        <w:left w:val="none" w:sz="0" w:space="0" w:color="auto"/>
        <w:bottom w:val="none" w:sz="0" w:space="0" w:color="auto"/>
        <w:right w:val="none" w:sz="0" w:space="0" w:color="auto"/>
      </w:divBdr>
    </w:div>
    <w:div w:id="698551327">
      <w:bodyDiv w:val="1"/>
      <w:marLeft w:val="0"/>
      <w:marRight w:val="0"/>
      <w:marTop w:val="0"/>
      <w:marBottom w:val="0"/>
      <w:divBdr>
        <w:top w:val="none" w:sz="0" w:space="0" w:color="auto"/>
        <w:left w:val="none" w:sz="0" w:space="0" w:color="auto"/>
        <w:bottom w:val="none" w:sz="0" w:space="0" w:color="auto"/>
        <w:right w:val="none" w:sz="0" w:space="0" w:color="auto"/>
      </w:divBdr>
    </w:div>
    <w:div w:id="744691234">
      <w:bodyDiv w:val="1"/>
      <w:marLeft w:val="0"/>
      <w:marRight w:val="0"/>
      <w:marTop w:val="0"/>
      <w:marBottom w:val="0"/>
      <w:divBdr>
        <w:top w:val="none" w:sz="0" w:space="0" w:color="auto"/>
        <w:left w:val="none" w:sz="0" w:space="0" w:color="auto"/>
        <w:bottom w:val="none" w:sz="0" w:space="0" w:color="auto"/>
        <w:right w:val="none" w:sz="0" w:space="0" w:color="auto"/>
      </w:divBdr>
    </w:div>
    <w:div w:id="835346412">
      <w:bodyDiv w:val="1"/>
      <w:marLeft w:val="0"/>
      <w:marRight w:val="0"/>
      <w:marTop w:val="0"/>
      <w:marBottom w:val="0"/>
      <w:divBdr>
        <w:top w:val="none" w:sz="0" w:space="0" w:color="auto"/>
        <w:left w:val="none" w:sz="0" w:space="0" w:color="auto"/>
        <w:bottom w:val="none" w:sz="0" w:space="0" w:color="auto"/>
        <w:right w:val="none" w:sz="0" w:space="0" w:color="auto"/>
      </w:divBdr>
    </w:div>
    <w:div w:id="863521343">
      <w:bodyDiv w:val="1"/>
      <w:marLeft w:val="0"/>
      <w:marRight w:val="0"/>
      <w:marTop w:val="0"/>
      <w:marBottom w:val="0"/>
      <w:divBdr>
        <w:top w:val="none" w:sz="0" w:space="0" w:color="auto"/>
        <w:left w:val="none" w:sz="0" w:space="0" w:color="auto"/>
        <w:bottom w:val="none" w:sz="0" w:space="0" w:color="auto"/>
        <w:right w:val="none" w:sz="0" w:space="0" w:color="auto"/>
      </w:divBdr>
    </w:div>
    <w:div w:id="936600288">
      <w:bodyDiv w:val="1"/>
      <w:marLeft w:val="0"/>
      <w:marRight w:val="0"/>
      <w:marTop w:val="0"/>
      <w:marBottom w:val="0"/>
      <w:divBdr>
        <w:top w:val="none" w:sz="0" w:space="0" w:color="auto"/>
        <w:left w:val="none" w:sz="0" w:space="0" w:color="auto"/>
        <w:bottom w:val="none" w:sz="0" w:space="0" w:color="auto"/>
        <w:right w:val="none" w:sz="0" w:space="0" w:color="auto"/>
      </w:divBdr>
    </w:div>
    <w:div w:id="1168710136">
      <w:bodyDiv w:val="1"/>
      <w:marLeft w:val="0"/>
      <w:marRight w:val="0"/>
      <w:marTop w:val="0"/>
      <w:marBottom w:val="0"/>
      <w:divBdr>
        <w:top w:val="none" w:sz="0" w:space="0" w:color="auto"/>
        <w:left w:val="none" w:sz="0" w:space="0" w:color="auto"/>
        <w:bottom w:val="none" w:sz="0" w:space="0" w:color="auto"/>
        <w:right w:val="none" w:sz="0" w:space="0" w:color="auto"/>
      </w:divBdr>
    </w:div>
    <w:div w:id="1218081547">
      <w:bodyDiv w:val="1"/>
      <w:marLeft w:val="0"/>
      <w:marRight w:val="0"/>
      <w:marTop w:val="0"/>
      <w:marBottom w:val="0"/>
      <w:divBdr>
        <w:top w:val="none" w:sz="0" w:space="0" w:color="auto"/>
        <w:left w:val="none" w:sz="0" w:space="0" w:color="auto"/>
        <w:bottom w:val="none" w:sz="0" w:space="0" w:color="auto"/>
        <w:right w:val="none" w:sz="0" w:space="0" w:color="auto"/>
      </w:divBdr>
    </w:div>
    <w:div w:id="1235895032">
      <w:bodyDiv w:val="1"/>
      <w:marLeft w:val="0"/>
      <w:marRight w:val="0"/>
      <w:marTop w:val="0"/>
      <w:marBottom w:val="0"/>
      <w:divBdr>
        <w:top w:val="none" w:sz="0" w:space="0" w:color="auto"/>
        <w:left w:val="none" w:sz="0" w:space="0" w:color="auto"/>
        <w:bottom w:val="none" w:sz="0" w:space="0" w:color="auto"/>
        <w:right w:val="none" w:sz="0" w:space="0" w:color="auto"/>
      </w:divBdr>
    </w:div>
    <w:div w:id="1254317771">
      <w:bodyDiv w:val="1"/>
      <w:marLeft w:val="0"/>
      <w:marRight w:val="0"/>
      <w:marTop w:val="0"/>
      <w:marBottom w:val="0"/>
      <w:divBdr>
        <w:top w:val="none" w:sz="0" w:space="0" w:color="auto"/>
        <w:left w:val="none" w:sz="0" w:space="0" w:color="auto"/>
        <w:bottom w:val="none" w:sz="0" w:space="0" w:color="auto"/>
        <w:right w:val="none" w:sz="0" w:space="0" w:color="auto"/>
      </w:divBdr>
    </w:div>
    <w:div w:id="1261912727">
      <w:bodyDiv w:val="1"/>
      <w:marLeft w:val="0"/>
      <w:marRight w:val="0"/>
      <w:marTop w:val="0"/>
      <w:marBottom w:val="0"/>
      <w:divBdr>
        <w:top w:val="none" w:sz="0" w:space="0" w:color="auto"/>
        <w:left w:val="none" w:sz="0" w:space="0" w:color="auto"/>
        <w:bottom w:val="none" w:sz="0" w:space="0" w:color="auto"/>
        <w:right w:val="none" w:sz="0" w:space="0" w:color="auto"/>
      </w:divBdr>
    </w:div>
    <w:div w:id="1309094542">
      <w:bodyDiv w:val="1"/>
      <w:marLeft w:val="0"/>
      <w:marRight w:val="0"/>
      <w:marTop w:val="0"/>
      <w:marBottom w:val="0"/>
      <w:divBdr>
        <w:top w:val="none" w:sz="0" w:space="0" w:color="auto"/>
        <w:left w:val="none" w:sz="0" w:space="0" w:color="auto"/>
        <w:bottom w:val="none" w:sz="0" w:space="0" w:color="auto"/>
        <w:right w:val="none" w:sz="0" w:space="0" w:color="auto"/>
      </w:divBdr>
    </w:div>
    <w:div w:id="1313296559">
      <w:bodyDiv w:val="1"/>
      <w:marLeft w:val="0"/>
      <w:marRight w:val="0"/>
      <w:marTop w:val="0"/>
      <w:marBottom w:val="0"/>
      <w:divBdr>
        <w:top w:val="none" w:sz="0" w:space="0" w:color="auto"/>
        <w:left w:val="none" w:sz="0" w:space="0" w:color="auto"/>
        <w:bottom w:val="none" w:sz="0" w:space="0" w:color="auto"/>
        <w:right w:val="none" w:sz="0" w:space="0" w:color="auto"/>
      </w:divBdr>
    </w:div>
    <w:div w:id="1314676041">
      <w:bodyDiv w:val="1"/>
      <w:marLeft w:val="0"/>
      <w:marRight w:val="0"/>
      <w:marTop w:val="0"/>
      <w:marBottom w:val="0"/>
      <w:divBdr>
        <w:top w:val="none" w:sz="0" w:space="0" w:color="auto"/>
        <w:left w:val="none" w:sz="0" w:space="0" w:color="auto"/>
        <w:bottom w:val="none" w:sz="0" w:space="0" w:color="auto"/>
        <w:right w:val="none" w:sz="0" w:space="0" w:color="auto"/>
      </w:divBdr>
    </w:div>
    <w:div w:id="1328169721">
      <w:bodyDiv w:val="1"/>
      <w:marLeft w:val="0"/>
      <w:marRight w:val="0"/>
      <w:marTop w:val="0"/>
      <w:marBottom w:val="0"/>
      <w:divBdr>
        <w:top w:val="none" w:sz="0" w:space="0" w:color="auto"/>
        <w:left w:val="none" w:sz="0" w:space="0" w:color="auto"/>
        <w:bottom w:val="none" w:sz="0" w:space="0" w:color="auto"/>
        <w:right w:val="none" w:sz="0" w:space="0" w:color="auto"/>
      </w:divBdr>
    </w:div>
    <w:div w:id="1407457318">
      <w:bodyDiv w:val="1"/>
      <w:marLeft w:val="0"/>
      <w:marRight w:val="0"/>
      <w:marTop w:val="0"/>
      <w:marBottom w:val="0"/>
      <w:divBdr>
        <w:top w:val="none" w:sz="0" w:space="0" w:color="auto"/>
        <w:left w:val="none" w:sz="0" w:space="0" w:color="auto"/>
        <w:bottom w:val="none" w:sz="0" w:space="0" w:color="auto"/>
        <w:right w:val="none" w:sz="0" w:space="0" w:color="auto"/>
      </w:divBdr>
    </w:div>
    <w:div w:id="1636334246">
      <w:bodyDiv w:val="1"/>
      <w:marLeft w:val="0"/>
      <w:marRight w:val="0"/>
      <w:marTop w:val="0"/>
      <w:marBottom w:val="0"/>
      <w:divBdr>
        <w:top w:val="none" w:sz="0" w:space="0" w:color="auto"/>
        <w:left w:val="none" w:sz="0" w:space="0" w:color="auto"/>
        <w:bottom w:val="none" w:sz="0" w:space="0" w:color="auto"/>
        <w:right w:val="none" w:sz="0" w:space="0" w:color="auto"/>
      </w:divBdr>
    </w:div>
    <w:div w:id="1713723186">
      <w:bodyDiv w:val="1"/>
      <w:marLeft w:val="0"/>
      <w:marRight w:val="0"/>
      <w:marTop w:val="0"/>
      <w:marBottom w:val="0"/>
      <w:divBdr>
        <w:top w:val="none" w:sz="0" w:space="0" w:color="auto"/>
        <w:left w:val="none" w:sz="0" w:space="0" w:color="auto"/>
        <w:bottom w:val="none" w:sz="0" w:space="0" w:color="auto"/>
        <w:right w:val="none" w:sz="0" w:space="0" w:color="auto"/>
      </w:divBdr>
    </w:div>
    <w:div w:id="1732772392">
      <w:bodyDiv w:val="1"/>
      <w:marLeft w:val="0"/>
      <w:marRight w:val="0"/>
      <w:marTop w:val="0"/>
      <w:marBottom w:val="0"/>
      <w:divBdr>
        <w:top w:val="none" w:sz="0" w:space="0" w:color="auto"/>
        <w:left w:val="none" w:sz="0" w:space="0" w:color="auto"/>
        <w:bottom w:val="none" w:sz="0" w:space="0" w:color="auto"/>
        <w:right w:val="none" w:sz="0" w:space="0" w:color="auto"/>
      </w:divBdr>
    </w:div>
    <w:div w:id="1839078080">
      <w:bodyDiv w:val="1"/>
      <w:marLeft w:val="0"/>
      <w:marRight w:val="0"/>
      <w:marTop w:val="0"/>
      <w:marBottom w:val="0"/>
      <w:divBdr>
        <w:top w:val="none" w:sz="0" w:space="0" w:color="auto"/>
        <w:left w:val="none" w:sz="0" w:space="0" w:color="auto"/>
        <w:bottom w:val="none" w:sz="0" w:space="0" w:color="auto"/>
        <w:right w:val="none" w:sz="0" w:space="0" w:color="auto"/>
      </w:divBdr>
    </w:div>
    <w:div w:id="1913924515">
      <w:bodyDiv w:val="1"/>
      <w:marLeft w:val="0"/>
      <w:marRight w:val="0"/>
      <w:marTop w:val="0"/>
      <w:marBottom w:val="0"/>
      <w:divBdr>
        <w:top w:val="none" w:sz="0" w:space="0" w:color="auto"/>
        <w:left w:val="none" w:sz="0" w:space="0" w:color="auto"/>
        <w:bottom w:val="none" w:sz="0" w:space="0" w:color="auto"/>
        <w:right w:val="none" w:sz="0" w:space="0" w:color="auto"/>
      </w:divBdr>
    </w:div>
    <w:div w:id="1971547975">
      <w:bodyDiv w:val="1"/>
      <w:marLeft w:val="0"/>
      <w:marRight w:val="0"/>
      <w:marTop w:val="0"/>
      <w:marBottom w:val="0"/>
      <w:divBdr>
        <w:top w:val="none" w:sz="0" w:space="0" w:color="auto"/>
        <w:left w:val="none" w:sz="0" w:space="0" w:color="auto"/>
        <w:bottom w:val="none" w:sz="0" w:space="0" w:color="auto"/>
        <w:right w:val="none" w:sz="0" w:space="0" w:color="auto"/>
      </w:divBdr>
    </w:div>
    <w:div w:id="2017996979">
      <w:bodyDiv w:val="1"/>
      <w:marLeft w:val="0"/>
      <w:marRight w:val="0"/>
      <w:marTop w:val="0"/>
      <w:marBottom w:val="0"/>
      <w:divBdr>
        <w:top w:val="none" w:sz="0" w:space="0" w:color="auto"/>
        <w:left w:val="none" w:sz="0" w:space="0" w:color="auto"/>
        <w:bottom w:val="none" w:sz="0" w:space="0" w:color="auto"/>
        <w:right w:val="none" w:sz="0" w:space="0" w:color="auto"/>
      </w:divBdr>
    </w:div>
    <w:div w:id="2035424985">
      <w:bodyDiv w:val="1"/>
      <w:marLeft w:val="0"/>
      <w:marRight w:val="0"/>
      <w:marTop w:val="0"/>
      <w:marBottom w:val="0"/>
      <w:divBdr>
        <w:top w:val="none" w:sz="0" w:space="0" w:color="auto"/>
        <w:left w:val="none" w:sz="0" w:space="0" w:color="auto"/>
        <w:bottom w:val="none" w:sz="0" w:space="0" w:color="auto"/>
        <w:right w:val="none" w:sz="0" w:space="0" w:color="auto"/>
      </w:divBdr>
    </w:div>
    <w:div w:id="209762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oi.org/10.1007/s11892-017-0834-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80/10408363.2016.1269309"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373/jalm.2017.024257"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oi.org/10.1007/s13317-017-0097-2" TargetMode="External"/><Relationship Id="rId4" Type="http://schemas.openxmlformats.org/officeDocument/2006/relationships/settings" Target="settings.xml"/><Relationship Id="rId9" Type="http://schemas.openxmlformats.org/officeDocument/2006/relationships/hyperlink" Target="https://www.ibms.org/education/ibms-qualifications-resource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BBD11C-EDD8-449C-8205-B1738AD8F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4</Pages>
  <Words>1057</Words>
  <Characters>6030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Ward</dc:creator>
  <cp:lastModifiedBy>Chris Ward</cp:lastModifiedBy>
  <cp:revision>45</cp:revision>
  <cp:lastPrinted>2015-06-09T12:00:00Z</cp:lastPrinted>
  <dcterms:created xsi:type="dcterms:W3CDTF">2016-05-24T12:43:00Z</dcterms:created>
  <dcterms:modified xsi:type="dcterms:W3CDTF">2021-06-14T08:00:00Z</dcterms:modified>
</cp:coreProperties>
</file>