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7D" w:rsidRPr="0079157D" w:rsidRDefault="0079157D" w:rsidP="0079157D">
      <w:pPr>
        <w:rPr>
          <w:rFonts w:asciiTheme="majorHAnsi" w:hAnsiTheme="majorHAnsi" w:cs="Arial"/>
          <w:color w:val="1F497D" w:themeColor="text2"/>
          <w:lang w:eastAsia="en-GB"/>
        </w:rPr>
      </w:pPr>
    </w:p>
    <w:p w:rsidR="0079157D" w:rsidRPr="00BD4AC5" w:rsidRDefault="0079157D" w:rsidP="00BD4AC5">
      <w:pPr>
        <w:spacing w:after="200" w:line="276" w:lineRule="auto"/>
        <w:jc w:val="center"/>
        <w:rPr>
          <w:rFonts w:asciiTheme="majorHAnsi" w:hAnsiTheme="majorHAnsi"/>
          <w:b/>
          <w:color w:val="002060"/>
        </w:rPr>
      </w:pPr>
      <w:r>
        <w:rPr>
          <w:noProof/>
          <w:lang w:eastAsia="en-GB"/>
        </w:rPr>
        <w:drawing>
          <wp:inline distT="0" distB="0" distL="0" distR="0" wp14:anchorId="52D39237" wp14:editId="199D2711">
            <wp:extent cx="771525" cy="2400300"/>
            <wp:effectExtent l="0" t="0" r="9525" b="0"/>
            <wp:docPr id="2" name="Picture 2" descr="IBMS Logo 2011_Strap Bottom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MS Logo 2011_Strap Bottom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7D" w:rsidRDefault="0079157D" w:rsidP="0079157D">
      <w:pPr>
        <w:jc w:val="center"/>
        <w:rPr>
          <w:b/>
          <w:color w:val="1F497D" w:themeColor="text2"/>
          <w:sz w:val="28"/>
          <w:szCs w:val="22"/>
        </w:rPr>
      </w:pPr>
    </w:p>
    <w:p w:rsidR="0079157D" w:rsidRPr="00D67603" w:rsidRDefault="0079157D" w:rsidP="0079157D">
      <w:pPr>
        <w:jc w:val="center"/>
        <w:rPr>
          <w:rFonts w:cs="Arial"/>
          <w:color w:val="000000" w:themeColor="text1"/>
          <w:lang w:eastAsia="en-GB"/>
        </w:rPr>
      </w:pPr>
      <w:r w:rsidRPr="00D67603">
        <w:rPr>
          <w:b/>
          <w:color w:val="000000" w:themeColor="text1"/>
          <w:sz w:val="28"/>
          <w:szCs w:val="22"/>
        </w:rPr>
        <w:t xml:space="preserve">Certificate of Expert Practice (CEP) in </w:t>
      </w:r>
      <w:r w:rsidR="00D67603" w:rsidRPr="00D67603">
        <w:rPr>
          <w:rFonts w:asciiTheme="majorHAnsi" w:hAnsiTheme="majorHAnsi"/>
          <w:b/>
          <w:color w:val="000000" w:themeColor="text1"/>
          <w:sz w:val="28"/>
          <w:szCs w:val="22"/>
        </w:rPr>
        <w:t>Point of Care Testing (POCT)</w:t>
      </w:r>
    </w:p>
    <w:p w:rsidR="0079157D" w:rsidRPr="00D67603" w:rsidRDefault="0079157D" w:rsidP="0079157D">
      <w:pPr>
        <w:rPr>
          <w:color w:val="000000" w:themeColor="text1"/>
          <w:sz w:val="22"/>
          <w:szCs w:val="22"/>
        </w:rPr>
      </w:pPr>
    </w:p>
    <w:p w:rsidR="0079157D" w:rsidRPr="00D67603" w:rsidRDefault="0079157D" w:rsidP="0079157D">
      <w:pPr>
        <w:rPr>
          <w:rFonts w:asciiTheme="majorHAnsi" w:hAnsiTheme="majorHAnsi"/>
          <w:color w:val="000000" w:themeColor="text1"/>
        </w:rPr>
      </w:pPr>
      <w:r w:rsidRPr="00D67603">
        <w:rPr>
          <w:rFonts w:asciiTheme="majorHAnsi" w:hAnsiTheme="majorHAnsi"/>
          <w:color w:val="000000" w:themeColor="text1"/>
        </w:rPr>
        <w:t xml:space="preserve">The CEP in </w:t>
      </w:r>
      <w:r w:rsidR="00D67603">
        <w:rPr>
          <w:rFonts w:asciiTheme="majorHAnsi" w:hAnsiTheme="majorHAnsi"/>
          <w:color w:val="000000" w:themeColor="text1"/>
        </w:rPr>
        <w:t>Point Of Care Testing</w:t>
      </w:r>
      <w:r w:rsidRPr="00D67603">
        <w:rPr>
          <w:rFonts w:asciiTheme="majorHAnsi" w:hAnsiTheme="majorHAnsi"/>
          <w:color w:val="000000" w:themeColor="text1"/>
        </w:rPr>
        <w:t xml:space="preserve"> consists of six two-week modules.  It is assessed through the submission of two</w:t>
      </w:r>
      <w:r w:rsidR="00D67603">
        <w:rPr>
          <w:rFonts w:asciiTheme="majorHAnsi" w:hAnsiTheme="majorHAnsi"/>
          <w:color w:val="000000" w:themeColor="text1"/>
        </w:rPr>
        <w:t xml:space="preserve"> as</w:t>
      </w:r>
      <w:r w:rsidRPr="00D67603">
        <w:rPr>
          <w:rFonts w:asciiTheme="majorHAnsi" w:hAnsiTheme="majorHAnsi"/>
          <w:color w:val="000000" w:themeColor="text1"/>
        </w:rPr>
        <w:t>s</w:t>
      </w:r>
      <w:r w:rsidR="00D67603">
        <w:rPr>
          <w:rFonts w:asciiTheme="majorHAnsi" w:hAnsiTheme="majorHAnsi"/>
          <w:color w:val="000000" w:themeColor="text1"/>
        </w:rPr>
        <w:t>essment pieces</w:t>
      </w:r>
      <w:r w:rsidRPr="00D67603">
        <w:rPr>
          <w:rFonts w:asciiTheme="majorHAnsi" w:hAnsiTheme="majorHAnsi"/>
          <w:color w:val="000000" w:themeColor="text1"/>
        </w:rPr>
        <w:t xml:space="preserve"> (one at the mid-point of the course and one at the end of the course) and an on-line examination the pass mark for which is 65%. </w:t>
      </w:r>
    </w:p>
    <w:p w:rsidR="0079157D" w:rsidRPr="00D67603" w:rsidRDefault="0079157D" w:rsidP="0079157D">
      <w:pPr>
        <w:rPr>
          <w:rFonts w:asciiTheme="majorHAnsi" w:hAnsiTheme="majorHAnsi"/>
          <w:color w:val="000000" w:themeColor="text1"/>
        </w:rPr>
      </w:pPr>
    </w:p>
    <w:p w:rsidR="0079157D" w:rsidRPr="00D67603" w:rsidRDefault="0079157D" w:rsidP="0079157D">
      <w:pPr>
        <w:rPr>
          <w:rFonts w:asciiTheme="majorHAnsi" w:hAnsiTheme="majorHAnsi"/>
          <w:color w:val="000000" w:themeColor="text1"/>
        </w:rPr>
      </w:pPr>
      <w:r w:rsidRPr="00D67603">
        <w:rPr>
          <w:rFonts w:asciiTheme="majorHAnsi" w:hAnsiTheme="majorHAnsi"/>
          <w:b/>
          <w:color w:val="000000" w:themeColor="text1"/>
        </w:rPr>
        <w:t>Modules</w:t>
      </w:r>
    </w:p>
    <w:p w:rsidR="0079157D" w:rsidRPr="00D67603" w:rsidRDefault="0079157D" w:rsidP="0079157D">
      <w:pPr>
        <w:rPr>
          <w:rFonts w:asciiTheme="majorHAnsi" w:hAnsiTheme="majorHAnsi"/>
          <w:color w:val="000000" w:themeColor="text1"/>
        </w:rPr>
      </w:pPr>
      <w:r w:rsidRPr="00D67603">
        <w:rPr>
          <w:rFonts w:asciiTheme="majorHAnsi" w:hAnsiTheme="majorHAnsi"/>
          <w:color w:val="000000" w:themeColor="text1"/>
        </w:rPr>
        <w:t>In brief the six modules and their learning outcomes are as follows:</w:t>
      </w:r>
    </w:p>
    <w:p w:rsidR="0079157D" w:rsidRPr="00D67603" w:rsidRDefault="0079157D" w:rsidP="0079157D">
      <w:pPr>
        <w:rPr>
          <w:rFonts w:asciiTheme="majorHAnsi" w:hAnsiTheme="majorHAnsi"/>
          <w:color w:val="000000" w:themeColor="text1"/>
        </w:rPr>
      </w:pPr>
    </w:p>
    <w:p w:rsidR="0079157D" w:rsidRPr="00D67603" w:rsidRDefault="0079157D" w:rsidP="0079157D">
      <w:pPr>
        <w:rPr>
          <w:rFonts w:asciiTheme="majorHAnsi" w:hAnsiTheme="majorHAnsi" w:cs="Arial"/>
          <w:b/>
          <w:color w:val="000000" w:themeColor="text1"/>
        </w:rPr>
      </w:pPr>
      <w:r w:rsidRPr="00D67603">
        <w:rPr>
          <w:rFonts w:asciiTheme="majorHAnsi" w:hAnsiTheme="majorHAnsi" w:cs="Arial"/>
          <w:b/>
          <w:color w:val="000000" w:themeColor="text1"/>
        </w:rPr>
        <w:t xml:space="preserve">Module 1 – </w:t>
      </w:r>
      <w:r w:rsidR="00D67603">
        <w:rPr>
          <w:rFonts w:asciiTheme="majorHAnsi" w:hAnsiTheme="majorHAnsi" w:cs="Arial"/>
          <w:b/>
          <w:color w:val="000000" w:themeColor="text1"/>
        </w:rPr>
        <w:t>An Introduction to POCT</w:t>
      </w:r>
    </w:p>
    <w:p w:rsidR="00D67603" w:rsidRPr="00FC69BA" w:rsidRDefault="00D67603" w:rsidP="00D67603">
      <w:pPr>
        <w:ind w:hanging="142"/>
        <w:rPr>
          <w:rFonts w:ascii="Times New Roman" w:eastAsia="Times New Roman" w:hAnsi="Times New Roman" w:cs="Times New Roman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ab/>
      </w:r>
      <w:r w:rsidRPr="00FC69BA">
        <w:rPr>
          <w:rFonts w:eastAsia="Times New Roman" w:cs="Times New Roman"/>
          <w:color w:val="000000"/>
          <w:lang w:eastAsia="en-GB"/>
        </w:rPr>
        <w:t>At the end of this module you will be:</w:t>
      </w:r>
    </w:p>
    <w:p w:rsidR="00D67603" w:rsidRPr="00FC69BA" w:rsidRDefault="00D67603" w:rsidP="00D67603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textAlignment w:val="baseline"/>
        <w:rPr>
          <w:rFonts w:eastAsia="Times New Roman" w:cs="Times New Roman"/>
          <w:color w:val="000000"/>
          <w:lang w:eastAsia="en-GB"/>
        </w:rPr>
      </w:pPr>
      <w:r w:rsidRPr="00FC69BA">
        <w:rPr>
          <w:rFonts w:eastAsia="Times New Roman" w:cs="Times New Roman"/>
          <w:color w:val="000000"/>
          <w:lang w:eastAsia="en-GB"/>
        </w:rPr>
        <w:t>able to define what POCT is and understand the challenges of</w:t>
      </w:r>
      <w:r>
        <w:rPr>
          <w:rFonts w:eastAsia="Times New Roman" w:cs="Times New Roman"/>
          <w:color w:val="000000"/>
          <w:lang w:eastAsia="en-GB"/>
        </w:rPr>
        <w:t xml:space="preserve"> determining what is a POC Test</w:t>
      </w:r>
    </w:p>
    <w:p w:rsidR="00D67603" w:rsidRPr="00FC69BA" w:rsidRDefault="00D67603" w:rsidP="00D67603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textAlignment w:val="baseline"/>
        <w:rPr>
          <w:rFonts w:eastAsia="Times New Roman" w:cs="Times New Roman"/>
          <w:color w:val="000000"/>
          <w:lang w:eastAsia="en-GB"/>
        </w:rPr>
      </w:pPr>
      <w:r w:rsidRPr="00FC69BA">
        <w:rPr>
          <w:rFonts w:eastAsia="Times New Roman" w:cs="Times New Roman"/>
          <w:color w:val="000000"/>
          <w:lang w:eastAsia="en-GB"/>
        </w:rPr>
        <w:t>aware of the history of POCT from a technolog</w:t>
      </w:r>
      <w:r>
        <w:rPr>
          <w:rFonts w:eastAsia="Times New Roman" w:cs="Times New Roman"/>
          <w:color w:val="000000"/>
          <w:lang w:eastAsia="en-GB"/>
        </w:rPr>
        <w:t>ical and governance perspective</w:t>
      </w:r>
    </w:p>
    <w:p w:rsidR="00D67603" w:rsidRPr="00FC69BA" w:rsidRDefault="00D67603" w:rsidP="00D67603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textAlignment w:val="baseline"/>
        <w:rPr>
          <w:rFonts w:eastAsia="Times New Roman" w:cs="Times New Roman"/>
          <w:color w:val="000000"/>
          <w:lang w:eastAsia="en-GB"/>
        </w:rPr>
      </w:pPr>
      <w:r w:rsidRPr="00FC69BA">
        <w:rPr>
          <w:rFonts w:eastAsia="Times New Roman" w:cs="Times New Roman"/>
          <w:color w:val="000000"/>
          <w:lang w:eastAsia="en-GB"/>
        </w:rPr>
        <w:t>able to describe how quality management and gove</w:t>
      </w:r>
      <w:r>
        <w:rPr>
          <w:rFonts w:eastAsia="Times New Roman" w:cs="Times New Roman"/>
          <w:color w:val="000000"/>
          <w:lang w:eastAsia="en-GB"/>
        </w:rPr>
        <w:t>rnance principles apply to POCT</w:t>
      </w:r>
    </w:p>
    <w:p w:rsidR="00D67603" w:rsidRPr="00FC69BA" w:rsidRDefault="00D67603" w:rsidP="00D67603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textAlignment w:val="baseline"/>
        <w:rPr>
          <w:rFonts w:eastAsia="Times New Roman" w:cs="Times New Roman"/>
          <w:color w:val="000000"/>
          <w:lang w:eastAsia="en-GB"/>
        </w:rPr>
      </w:pPr>
      <w:r w:rsidRPr="00FC69BA">
        <w:rPr>
          <w:rFonts w:eastAsia="Times New Roman" w:cs="Times New Roman"/>
          <w:color w:val="000000"/>
          <w:lang w:eastAsia="en-GB"/>
        </w:rPr>
        <w:t>describe who performs POCT; Where POCT is performed and what p</w:t>
      </w:r>
      <w:r>
        <w:rPr>
          <w:rFonts w:eastAsia="Times New Roman" w:cs="Times New Roman"/>
          <w:color w:val="000000"/>
          <w:lang w:eastAsia="en-GB"/>
        </w:rPr>
        <w:t>arameters are commonly analysed</w:t>
      </w:r>
    </w:p>
    <w:p w:rsidR="0079157D" w:rsidRDefault="00D67603" w:rsidP="00D67603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textAlignment w:val="baseline"/>
        <w:rPr>
          <w:rFonts w:eastAsia="Times New Roman" w:cs="Times New Roman"/>
          <w:color w:val="000000"/>
          <w:lang w:eastAsia="en-GB"/>
        </w:rPr>
      </w:pPr>
      <w:r w:rsidRPr="00FC69BA">
        <w:rPr>
          <w:rFonts w:eastAsia="Times New Roman" w:cs="Times New Roman"/>
          <w:color w:val="000000"/>
          <w:lang w:eastAsia="en-GB"/>
        </w:rPr>
        <w:t>describe the relationships that influence</w:t>
      </w:r>
      <w:r>
        <w:rPr>
          <w:rFonts w:eastAsia="Times New Roman" w:cs="Times New Roman"/>
          <w:color w:val="000000"/>
          <w:lang w:eastAsia="en-GB"/>
        </w:rPr>
        <w:t xml:space="preserve"> the delivery of a POCT service</w:t>
      </w:r>
    </w:p>
    <w:p w:rsidR="00D67603" w:rsidRPr="00D67603" w:rsidRDefault="00D67603" w:rsidP="00D67603">
      <w:pPr>
        <w:ind w:left="426"/>
        <w:textAlignment w:val="baseline"/>
        <w:rPr>
          <w:rFonts w:eastAsia="Times New Roman" w:cs="Times New Roman"/>
          <w:color w:val="000000"/>
          <w:lang w:eastAsia="en-GB"/>
        </w:rPr>
      </w:pPr>
    </w:p>
    <w:p w:rsidR="0079157D" w:rsidRPr="00D67603" w:rsidRDefault="0079157D" w:rsidP="0079157D">
      <w:pPr>
        <w:rPr>
          <w:rFonts w:asciiTheme="majorHAnsi" w:hAnsiTheme="majorHAnsi"/>
          <w:b/>
          <w:color w:val="000000" w:themeColor="text1"/>
        </w:rPr>
      </w:pPr>
      <w:r w:rsidRPr="00D67603">
        <w:rPr>
          <w:rFonts w:asciiTheme="majorHAnsi" w:hAnsiTheme="majorHAnsi"/>
          <w:b/>
          <w:color w:val="000000" w:themeColor="text1"/>
        </w:rPr>
        <w:t xml:space="preserve">Module 2 – </w:t>
      </w:r>
      <w:r w:rsidR="00D67603">
        <w:rPr>
          <w:rFonts w:asciiTheme="majorHAnsi" w:hAnsiTheme="majorHAnsi"/>
          <w:b/>
          <w:color w:val="000000" w:themeColor="text1"/>
        </w:rPr>
        <w:t>Quality and Accreditation in POCT</w:t>
      </w:r>
    </w:p>
    <w:p w:rsidR="00D67603" w:rsidRPr="00E44B15" w:rsidRDefault="00D67603" w:rsidP="00D67603">
      <w:r w:rsidRPr="00E44B15">
        <w:t>At the end of this module you will:</w:t>
      </w:r>
    </w:p>
    <w:p w:rsidR="00D67603" w:rsidRPr="00E44B15" w:rsidRDefault="00D67603" w:rsidP="00D67603">
      <w:pPr>
        <w:numPr>
          <w:ilvl w:val="0"/>
          <w:numId w:val="16"/>
        </w:numPr>
        <w:ind w:left="426" w:hanging="426"/>
      </w:pPr>
      <w:r>
        <w:t>b</w:t>
      </w:r>
      <w:r w:rsidRPr="00E44B15">
        <w:t xml:space="preserve">e aware of and understand integrated governance in the provision of a </w:t>
      </w:r>
      <w:r>
        <w:t>POCT service</w:t>
      </w:r>
    </w:p>
    <w:p w:rsidR="00D67603" w:rsidRPr="00E44B15" w:rsidRDefault="00D67603" w:rsidP="00D67603">
      <w:pPr>
        <w:numPr>
          <w:ilvl w:val="0"/>
          <w:numId w:val="16"/>
        </w:numPr>
        <w:ind w:left="426" w:hanging="426"/>
      </w:pPr>
      <w:r>
        <w:t>u</w:t>
      </w:r>
      <w:r w:rsidRPr="00E44B15">
        <w:t xml:space="preserve">nderstand the importance of a quality management system (QMS) in the delivery of a </w:t>
      </w:r>
      <w:r>
        <w:t>POCT service</w:t>
      </w:r>
    </w:p>
    <w:p w:rsidR="00D67603" w:rsidRPr="00E44B15" w:rsidRDefault="00D67603" w:rsidP="00D67603">
      <w:pPr>
        <w:numPr>
          <w:ilvl w:val="0"/>
          <w:numId w:val="16"/>
        </w:numPr>
        <w:ind w:left="426" w:hanging="426"/>
      </w:pPr>
      <w:r>
        <w:t>u</w:t>
      </w:r>
      <w:r w:rsidRPr="00E44B15">
        <w:t xml:space="preserve">nderstand the importance of internal quality control (IQC) and external quality assessment (EQA) in </w:t>
      </w:r>
      <w:r>
        <w:t>POCT</w:t>
      </w:r>
      <w:r w:rsidRPr="00E44B15">
        <w:t xml:space="preserve">, and the difference between laboratory and </w:t>
      </w:r>
      <w:r>
        <w:t>POCT</w:t>
      </w:r>
      <w:r w:rsidRPr="00E44B15">
        <w:t xml:space="preserve"> IQC</w:t>
      </w:r>
    </w:p>
    <w:p w:rsidR="00D67603" w:rsidRPr="00E44B15" w:rsidRDefault="00D67603" w:rsidP="00D67603">
      <w:pPr>
        <w:numPr>
          <w:ilvl w:val="0"/>
          <w:numId w:val="16"/>
        </w:numPr>
        <w:ind w:left="426" w:hanging="426"/>
      </w:pPr>
      <w:r>
        <w:t>u</w:t>
      </w:r>
      <w:r w:rsidRPr="00E44B15">
        <w:t xml:space="preserve">nderstand UKAS Accreditation of </w:t>
      </w:r>
      <w:r>
        <w:t>POCT services</w:t>
      </w:r>
    </w:p>
    <w:p w:rsidR="00D67603" w:rsidRDefault="00D67603" w:rsidP="00D67603">
      <w:pPr>
        <w:numPr>
          <w:ilvl w:val="0"/>
          <w:numId w:val="16"/>
        </w:numPr>
        <w:ind w:left="426" w:hanging="426"/>
      </w:pPr>
      <w:r>
        <w:t>b</w:t>
      </w:r>
      <w:r w:rsidRPr="00E44B15">
        <w:t>e aware of the importance of communicat</w:t>
      </w:r>
      <w:r>
        <w:t>ion with users</w:t>
      </w:r>
    </w:p>
    <w:p w:rsidR="0079157D" w:rsidRDefault="00D67603" w:rsidP="00D67603">
      <w:pPr>
        <w:numPr>
          <w:ilvl w:val="0"/>
          <w:numId w:val="16"/>
        </w:numPr>
        <w:ind w:left="426" w:hanging="426"/>
      </w:pPr>
      <w:r>
        <w:t>u</w:t>
      </w:r>
      <w:r w:rsidRPr="00E44B15">
        <w:t>nderstand that</w:t>
      </w:r>
      <w:r w:rsidRPr="00D67603">
        <w:rPr>
          <w:rFonts w:cs="American Typewriter"/>
        </w:rPr>
        <w:t xml:space="preserve"> collaborative working in POCT</w:t>
      </w:r>
      <w:r w:rsidRPr="00E44B15">
        <w:t xml:space="preserve"> ensures the success of the </w:t>
      </w:r>
      <w:r>
        <w:t>POCT service</w:t>
      </w:r>
    </w:p>
    <w:p w:rsidR="00D67603" w:rsidRPr="00D67603" w:rsidRDefault="00D67603" w:rsidP="00D67603">
      <w:pPr>
        <w:ind w:left="357"/>
      </w:pPr>
    </w:p>
    <w:p w:rsidR="004B01DE" w:rsidRDefault="004B01DE" w:rsidP="0079157D">
      <w:pPr>
        <w:rPr>
          <w:rFonts w:asciiTheme="majorHAnsi" w:hAnsiTheme="majorHAnsi"/>
          <w:b/>
          <w:color w:val="000000" w:themeColor="text1"/>
        </w:rPr>
      </w:pPr>
    </w:p>
    <w:p w:rsidR="0079157D" w:rsidRPr="00D67603" w:rsidRDefault="0079157D" w:rsidP="0079157D">
      <w:pPr>
        <w:rPr>
          <w:rFonts w:asciiTheme="majorHAnsi" w:hAnsiTheme="majorHAnsi"/>
          <w:b/>
          <w:color w:val="000000" w:themeColor="text1"/>
        </w:rPr>
      </w:pPr>
      <w:bookmarkStart w:id="0" w:name="_GoBack"/>
      <w:bookmarkEnd w:id="0"/>
      <w:r w:rsidRPr="00D67603">
        <w:rPr>
          <w:rFonts w:asciiTheme="majorHAnsi" w:hAnsiTheme="majorHAnsi"/>
          <w:b/>
          <w:color w:val="000000" w:themeColor="text1"/>
        </w:rPr>
        <w:lastRenderedPageBreak/>
        <w:t xml:space="preserve">Module 3 – </w:t>
      </w:r>
      <w:r w:rsidR="00D67603">
        <w:rPr>
          <w:rFonts w:asciiTheme="majorHAnsi" w:hAnsiTheme="majorHAnsi"/>
          <w:b/>
          <w:color w:val="000000" w:themeColor="text1"/>
        </w:rPr>
        <w:t>Principles of Measurement and Analytical Considerations in POCT</w:t>
      </w:r>
    </w:p>
    <w:p w:rsidR="00D67603" w:rsidRDefault="00D67603" w:rsidP="00D67603">
      <w:r>
        <w:t>At the end of this module you will be able to:</w:t>
      </w:r>
    </w:p>
    <w:p w:rsidR="00D67603" w:rsidRDefault="00D67603" w:rsidP="00D6760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state the core technologies used within POCT</w:t>
      </w:r>
    </w:p>
    <w:p w:rsidR="00D67603" w:rsidRDefault="00D67603" w:rsidP="00D6760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give examples of techniques and how they differ from the laboratory</w:t>
      </w:r>
    </w:p>
    <w:p w:rsidR="00D67603" w:rsidRDefault="00D67603" w:rsidP="00D6760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demonstrate knowledge of key contra-indications and interferences</w:t>
      </w:r>
    </w:p>
    <w:p w:rsidR="00D67603" w:rsidRDefault="00D67603" w:rsidP="00D6760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demonstrate the key sample types along with how sensitivity and linearity interplay in terms of assay selection</w:t>
      </w:r>
    </w:p>
    <w:p w:rsidR="00D67603" w:rsidRDefault="00D67603" w:rsidP="00D6760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identify the main factors that impact the sample pathway and the importance of user interactions</w:t>
      </w:r>
    </w:p>
    <w:p w:rsidR="0079157D" w:rsidRPr="00D67603" w:rsidRDefault="00D67603" w:rsidP="00D6760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i</w:t>
      </w:r>
      <w:r w:rsidRPr="00D67603">
        <w:rPr>
          <w:color w:val="000000"/>
        </w:rPr>
        <w:t xml:space="preserve">dentify key factors that need to be considered when looking at the patient role within POCT and how POCT has a role </w:t>
      </w:r>
      <w:r>
        <w:rPr>
          <w:color w:val="000000"/>
        </w:rPr>
        <w:t>within Pathology</w:t>
      </w:r>
    </w:p>
    <w:p w:rsidR="00D67603" w:rsidRDefault="00D67603" w:rsidP="0079157D">
      <w:pPr>
        <w:rPr>
          <w:rFonts w:asciiTheme="majorHAnsi" w:hAnsiTheme="majorHAnsi"/>
          <w:b/>
          <w:color w:val="000000" w:themeColor="text1"/>
        </w:rPr>
      </w:pPr>
    </w:p>
    <w:p w:rsidR="00D67603" w:rsidRDefault="00D67603" w:rsidP="0079157D">
      <w:pPr>
        <w:rPr>
          <w:rFonts w:asciiTheme="majorHAnsi" w:hAnsiTheme="majorHAnsi"/>
          <w:b/>
          <w:color w:val="000000" w:themeColor="text1"/>
        </w:rPr>
      </w:pPr>
    </w:p>
    <w:p w:rsidR="00D67603" w:rsidRDefault="0079157D" w:rsidP="00D67603">
      <w:pPr>
        <w:rPr>
          <w:rFonts w:asciiTheme="majorHAnsi" w:hAnsiTheme="majorHAnsi"/>
          <w:b/>
          <w:color w:val="000000" w:themeColor="text1"/>
        </w:rPr>
      </w:pPr>
      <w:r w:rsidRPr="00D67603">
        <w:rPr>
          <w:rFonts w:asciiTheme="majorHAnsi" w:hAnsiTheme="majorHAnsi"/>
          <w:b/>
          <w:color w:val="000000" w:themeColor="text1"/>
        </w:rPr>
        <w:t xml:space="preserve">Module 4 – </w:t>
      </w:r>
      <w:r w:rsidR="00D67603">
        <w:rPr>
          <w:rFonts w:asciiTheme="majorHAnsi" w:hAnsiTheme="majorHAnsi"/>
          <w:b/>
          <w:color w:val="000000" w:themeColor="text1"/>
        </w:rPr>
        <w:t>Development of a Service Need</w:t>
      </w:r>
    </w:p>
    <w:p w:rsidR="00D67603" w:rsidRDefault="00D67603" w:rsidP="00D67603">
      <w:r w:rsidRPr="008F6F7F">
        <w:t>At the end of this module you will be:</w:t>
      </w:r>
    </w:p>
    <w:p w:rsidR="00D67603" w:rsidRDefault="00D67603" w:rsidP="00D67603">
      <w:pPr>
        <w:pStyle w:val="ListParagraph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>
        <w:t>a</w:t>
      </w:r>
      <w:r w:rsidRPr="008F6F7F">
        <w:t>ware of the importance of establishing the clinical need for a new POCT service</w:t>
      </w:r>
    </w:p>
    <w:p w:rsidR="00D67603" w:rsidRDefault="00D67603" w:rsidP="00D67603">
      <w:pPr>
        <w:pStyle w:val="ListParagraph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>
        <w:t>a</w:t>
      </w:r>
      <w:r w:rsidRPr="008F6F7F">
        <w:t>ble to put together a busi</w:t>
      </w:r>
      <w:r>
        <w:t>ness case for a new POCT service</w:t>
      </w:r>
    </w:p>
    <w:p w:rsidR="00D67603" w:rsidRDefault="00D67603" w:rsidP="00D67603">
      <w:pPr>
        <w:pStyle w:val="ListParagraph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>
        <w:t>f</w:t>
      </w:r>
      <w:r w:rsidRPr="008F6F7F">
        <w:t>amiliar with the procurement process</w:t>
      </w:r>
      <w:r>
        <w:t xml:space="preserve"> for POCT devices</w:t>
      </w:r>
    </w:p>
    <w:p w:rsidR="00D67603" w:rsidRDefault="00D67603" w:rsidP="00D67603">
      <w:pPr>
        <w:pStyle w:val="ListParagraph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>
        <w:t>a</w:t>
      </w:r>
      <w:r w:rsidRPr="008F6F7F">
        <w:t>ware of the factors for consideration when selecting POCT devices</w:t>
      </w:r>
    </w:p>
    <w:p w:rsidR="00D67603" w:rsidRDefault="00D67603" w:rsidP="00D67603">
      <w:pPr>
        <w:pStyle w:val="ListParagraph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>
        <w:t>f</w:t>
      </w:r>
      <w:r w:rsidRPr="008F6F7F">
        <w:t>amiliar with the verification process for POCT devices</w:t>
      </w:r>
    </w:p>
    <w:p w:rsidR="00D67603" w:rsidRPr="00D67603" w:rsidRDefault="00D67603" w:rsidP="00D67603">
      <w:pPr>
        <w:pStyle w:val="ListParagraph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rFonts w:asciiTheme="majorHAnsi" w:hAnsiTheme="majorHAnsi"/>
          <w:b/>
          <w:color w:val="000000" w:themeColor="text1"/>
        </w:rPr>
      </w:pPr>
      <w:r>
        <w:t>a</w:t>
      </w:r>
      <w:r w:rsidRPr="008F6F7F">
        <w:t>ble to develop an implementation strategy for POCT services</w:t>
      </w:r>
    </w:p>
    <w:p w:rsidR="0079157D" w:rsidRPr="00D67603" w:rsidRDefault="0079157D" w:rsidP="0079157D">
      <w:pPr>
        <w:spacing w:after="200" w:line="276" w:lineRule="auto"/>
        <w:rPr>
          <w:rFonts w:asciiTheme="majorHAnsi" w:hAnsiTheme="majorHAnsi"/>
          <w:color w:val="000000" w:themeColor="text1"/>
        </w:rPr>
      </w:pPr>
    </w:p>
    <w:p w:rsidR="0079157D" w:rsidRPr="00D67603" w:rsidRDefault="0079157D" w:rsidP="0079157D">
      <w:pPr>
        <w:rPr>
          <w:rFonts w:asciiTheme="majorHAnsi" w:hAnsiTheme="majorHAnsi"/>
          <w:b/>
          <w:color w:val="000000" w:themeColor="text1"/>
        </w:rPr>
      </w:pPr>
      <w:r w:rsidRPr="00D67603">
        <w:rPr>
          <w:rFonts w:asciiTheme="majorHAnsi" w:hAnsiTheme="majorHAnsi"/>
          <w:b/>
          <w:color w:val="000000" w:themeColor="text1"/>
        </w:rPr>
        <w:t xml:space="preserve">Module 5 – </w:t>
      </w:r>
      <w:r w:rsidR="00D67603">
        <w:rPr>
          <w:rFonts w:asciiTheme="majorHAnsi" w:hAnsiTheme="majorHAnsi"/>
          <w:b/>
          <w:color w:val="000000" w:themeColor="text1"/>
        </w:rPr>
        <w:t>Connectivity and Data Management in POCT</w:t>
      </w:r>
    </w:p>
    <w:p w:rsidR="00D67603" w:rsidRDefault="00D67603" w:rsidP="00D67603">
      <w:r w:rsidRPr="008F6F7F">
        <w:t xml:space="preserve">At the </w:t>
      </w:r>
      <w:r>
        <w:t>end of this module you will</w:t>
      </w:r>
      <w:r w:rsidRPr="008F6F7F">
        <w:t>:</w:t>
      </w:r>
    </w:p>
    <w:p w:rsidR="00D67603" w:rsidRDefault="00D67603" w:rsidP="00D67603">
      <w:pPr>
        <w:pStyle w:val="ListParagraph"/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>
        <w:rPr>
          <w:rFonts w:cs="Arial"/>
        </w:rPr>
        <w:t>a</w:t>
      </w:r>
      <w:r w:rsidRPr="00D67603">
        <w:rPr>
          <w:rFonts w:cs="Arial"/>
        </w:rPr>
        <w:t>ppreciate the value of electronically connected POCT devices in the provision of an effective POCT service</w:t>
      </w:r>
    </w:p>
    <w:p w:rsidR="00D67603" w:rsidRDefault="00D67603" w:rsidP="00D67603">
      <w:pPr>
        <w:pStyle w:val="ListParagraph"/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>
        <w:rPr>
          <w:rFonts w:cs="Arial"/>
        </w:rPr>
        <w:t>u</w:t>
      </w:r>
      <w:r w:rsidRPr="00D67603">
        <w:rPr>
          <w:rFonts w:cs="Arial"/>
        </w:rPr>
        <w:t>nderstand the challenges faced when managing a POCT service with limited connectivity and the whole service benefits of a central data management system</w:t>
      </w:r>
    </w:p>
    <w:p w:rsidR="00D67603" w:rsidRDefault="00D67603" w:rsidP="00D67603">
      <w:pPr>
        <w:pStyle w:val="ListParagraph"/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>
        <w:rPr>
          <w:rFonts w:cs="Arial"/>
        </w:rPr>
        <w:t>id</w:t>
      </w:r>
      <w:r w:rsidRPr="00D67603">
        <w:rPr>
          <w:rFonts w:cs="Arial"/>
        </w:rPr>
        <w:t>entify ways in which connectivity can help the POCT service demonstrate compliance with ISO standards and support initial and on-going attainment of UKAS accreditation for the POCT service</w:t>
      </w:r>
    </w:p>
    <w:p w:rsidR="00D67603" w:rsidRDefault="00D67603" w:rsidP="00D67603">
      <w:pPr>
        <w:pStyle w:val="ListParagraph"/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>
        <w:rPr>
          <w:rFonts w:cs="Arial"/>
        </w:rPr>
        <w:t>b</w:t>
      </w:r>
      <w:r w:rsidRPr="00D67603">
        <w:rPr>
          <w:rFonts w:cs="Arial"/>
        </w:rPr>
        <w:t>e aware of the variation in commercial middleware platforms available and the difficulties faced when developing a local connectivity solution</w:t>
      </w:r>
    </w:p>
    <w:p w:rsidR="00D67603" w:rsidRPr="00D67603" w:rsidRDefault="00D67603" w:rsidP="00D67603">
      <w:pPr>
        <w:pStyle w:val="ListParagraph"/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>
        <w:rPr>
          <w:rFonts w:cs="Arial"/>
        </w:rPr>
        <w:t>a</w:t>
      </w:r>
      <w:r w:rsidRPr="00D67603">
        <w:rPr>
          <w:rFonts w:cs="Arial"/>
        </w:rPr>
        <w:t>ppreciate the complexities of achieving full end to end connectivity</w:t>
      </w:r>
    </w:p>
    <w:p w:rsidR="0079157D" w:rsidRPr="00D67603" w:rsidRDefault="0079157D" w:rsidP="0079157D">
      <w:pPr>
        <w:spacing w:after="200" w:line="276" w:lineRule="auto"/>
        <w:rPr>
          <w:rFonts w:asciiTheme="majorHAnsi" w:hAnsiTheme="majorHAnsi"/>
          <w:color w:val="000000" w:themeColor="text1"/>
        </w:rPr>
      </w:pPr>
    </w:p>
    <w:p w:rsidR="0079157D" w:rsidRPr="00D67603" w:rsidRDefault="0079157D" w:rsidP="0079157D">
      <w:pPr>
        <w:rPr>
          <w:rFonts w:asciiTheme="majorHAnsi" w:hAnsiTheme="majorHAnsi"/>
          <w:b/>
          <w:color w:val="000000" w:themeColor="text1"/>
        </w:rPr>
      </w:pPr>
      <w:r w:rsidRPr="00D67603">
        <w:rPr>
          <w:rFonts w:asciiTheme="majorHAnsi" w:hAnsiTheme="majorHAnsi"/>
          <w:b/>
          <w:color w:val="000000" w:themeColor="text1"/>
        </w:rPr>
        <w:t xml:space="preserve">Module 6 – </w:t>
      </w:r>
      <w:r w:rsidR="00D67603">
        <w:rPr>
          <w:rFonts w:asciiTheme="majorHAnsi" w:hAnsiTheme="majorHAnsi"/>
          <w:b/>
          <w:color w:val="000000" w:themeColor="text1"/>
        </w:rPr>
        <w:t>Training in POCT</w:t>
      </w:r>
    </w:p>
    <w:p w:rsidR="00025CC9" w:rsidRDefault="00D67603" w:rsidP="00025CC9">
      <w:r w:rsidRPr="008F6F7F">
        <w:t xml:space="preserve">At the </w:t>
      </w:r>
      <w:r>
        <w:t>end of this module you will</w:t>
      </w:r>
      <w:r w:rsidR="00025CC9">
        <w:t xml:space="preserve"> be able to</w:t>
      </w:r>
      <w:r w:rsidRPr="008F6F7F">
        <w:t>:</w:t>
      </w:r>
    </w:p>
    <w:p w:rsidR="00025CC9" w:rsidRPr="00025CC9" w:rsidRDefault="00025CC9" w:rsidP="00025CC9">
      <w:pPr>
        <w:pStyle w:val="ListParagraph"/>
        <w:numPr>
          <w:ilvl w:val="0"/>
          <w:numId w:val="24"/>
        </w:numPr>
        <w:tabs>
          <w:tab w:val="clear" w:pos="720"/>
          <w:tab w:val="num" w:pos="426"/>
        </w:tabs>
        <w:ind w:left="426" w:hanging="426"/>
      </w:pPr>
      <w:r w:rsidRPr="00025CC9">
        <w:rPr>
          <w:color w:val="000000"/>
        </w:rPr>
        <w:t>demonstrate knowledge of key ISO requirements for training</w:t>
      </w:r>
    </w:p>
    <w:p w:rsidR="00025CC9" w:rsidRPr="00025CC9" w:rsidRDefault="00025CC9" w:rsidP="00025CC9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025CC9">
        <w:rPr>
          <w:color w:val="000000"/>
        </w:rPr>
        <w:t>write and deliver a training plan</w:t>
      </w:r>
    </w:p>
    <w:p w:rsidR="00025CC9" w:rsidRPr="00025CC9" w:rsidRDefault="00025CC9" w:rsidP="00025CC9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025CC9">
        <w:rPr>
          <w:color w:val="000000"/>
        </w:rPr>
        <w:t>identify the requirements for Practical training sessions</w:t>
      </w:r>
    </w:p>
    <w:p w:rsidR="0079157D" w:rsidRPr="00025CC9" w:rsidRDefault="00025CC9" w:rsidP="00025CC9">
      <w:pPr>
        <w:pStyle w:val="ListParagraph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rPr>
          <w:rFonts w:asciiTheme="majorHAnsi" w:hAnsiTheme="majorHAnsi"/>
          <w:color w:val="000000" w:themeColor="text1"/>
          <w:sz w:val="22"/>
          <w:szCs w:val="22"/>
        </w:rPr>
      </w:pPr>
      <w:r w:rsidRPr="00025CC9">
        <w:rPr>
          <w:color w:val="000000"/>
        </w:rPr>
        <w:t>identify the requirements for re-training and recertification of POCT users</w:t>
      </w:r>
    </w:p>
    <w:p w:rsidR="0079157D" w:rsidRPr="00BD4AC5" w:rsidRDefault="0079157D" w:rsidP="00BD4AC5">
      <w:pPr>
        <w:spacing w:after="200" w:line="276" w:lineRule="auto"/>
        <w:rPr>
          <w:rFonts w:asciiTheme="majorHAnsi" w:hAnsiTheme="majorHAnsi"/>
          <w:color w:val="002060"/>
          <w:sz w:val="22"/>
          <w:szCs w:val="22"/>
        </w:rPr>
      </w:pPr>
    </w:p>
    <w:sectPr w:rsidR="0079157D" w:rsidRPr="00BD4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9C57735"/>
    <w:multiLevelType w:val="hybridMultilevel"/>
    <w:tmpl w:val="E89C69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105F5D"/>
    <w:multiLevelType w:val="hybridMultilevel"/>
    <w:tmpl w:val="E506D93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D53011"/>
    <w:multiLevelType w:val="multilevel"/>
    <w:tmpl w:val="9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014BB"/>
    <w:multiLevelType w:val="multilevel"/>
    <w:tmpl w:val="9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vertAlign w:val="baseline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vertAlign w:val="baseline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vertAlign w:val="baseline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vertAlign w:val="baseline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vertAlign w:val="baseline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vertAlign w:val="baseline"/>
      </w:rPr>
    </w:lvl>
  </w:abstractNum>
  <w:abstractNum w:abstractNumId="5">
    <w:nsid w:val="1D027FEA"/>
    <w:multiLevelType w:val="hybridMultilevel"/>
    <w:tmpl w:val="3164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D5DC7"/>
    <w:multiLevelType w:val="hybridMultilevel"/>
    <w:tmpl w:val="E83617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25216C"/>
    <w:multiLevelType w:val="hybridMultilevel"/>
    <w:tmpl w:val="D72085AA"/>
    <w:lvl w:ilvl="0" w:tplc="5BAA02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B2F7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62C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9E62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38E0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806B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482A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6CC0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AED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60666C"/>
    <w:multiLevelType w:val="hybridMultilevel"/>
    <w:tmpl w:val="20D0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26F13"/>
    <w:multiLevelType w:val="hybridMultilevel"/>
    <w:tmpl w:val="DF240F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63A21"/>
    <w:multiLevelType w:val="multilevel"/>
    <w:tmpl w:val="759A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C675DE"/>
    <w:multiLevelType w:val="multilevel"/>
    <w:tmpl w:val="3A9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C966E0"/>
    <w:multiLevelType w:val="multilevel"/>
    <w:tmpl w:val="9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730D46"/>
    <w:multiLevelType w:val="hybridMultilevel"/>
    <w:tmpl w:val="B58A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C008F"/>
    <w:multiLevelType w:val="hybridMultilevel"/>
    <w:tmpl w:val="2FB6B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577218"/>
    <w:multiLevelType w:val="hybridMultilevel"/>
    <w:tmpl w:val="A26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E2976"/>
    <w:multiLevelType w:val="multilevel"/>
    <w:tmpl w:val="84B8F9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51A84ED0"/>
    <w:multiLevelType w:val="hybridMultilevel"/>
    <w:tmpl w:val="8CC8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9727D"/>
    <w:multiLevelType w:val="multilevel"/>
    <w:tmpl w:val="F9DC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E555A0"/>
    <w:multiLevelType w:val="multilevel"/>
    <w:tmpl w:val="45C4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C91A5C"/>
    <w:multiLevelType w:val="multilevel"/>
    <w:tmpl w:val="9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A17F81"/>
    <w:multiLevelType w:val="multilevel"/>
    <w:tmpl w:val="9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0F481D"/>
    <w:multiLevelType w:val="hybridMultilevel"/>
    <w:tmpl w:val="9E8CF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5834"/>
    <w:multiLevelType w:val="hybridMultilevel"/>
    <w:tmpl w:val="30F6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11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22"/>
  </w:num>
  <w:num w:numId="10">
    <w:abstractNumId w:val="6"/>
  </w:num>
  <w:num w:numId="11">
    <w:abstractNumId w:val="15"/>
  </w:num>
  <w:num w:numId="12">
    <w:abstractNumId w:val="17"/>
  </w:num>
  <w:num w:numId="13">
    <w:abstractNumId w:val="5"/>
  </w:num>
  <w:num w:numId="14">
    <w:abstractNumId w:val="8"/>
  </w:num>
  <w:num w:numId="15">
    <w:abstractNumId w:val="19"/>
  </w:num>
  <w:num w:numId="16">
    <w:abstractNumId w:val="14"/>
  </w:num>
  <w:num w:numId="17">
    <w:abstractNumId w:val="21"/>
  </w:num>
  <w:num w:numId="18">
    <w:abstractNumId w:val="4"/>
  </w:num>
  <w:num w:numId="19">
    <w:abstractNumId w:val="2"/>
  </w:num>
  <w:num w:numId="20">
    <w:abstractNumId w:val="12"/>
  </w:num>
  <w:num w:numId="21">
    <w:abstractNumId w:val="23"/>
  </w:num>
  <w:num w:numId="22">
    <w:abstractNumId w:val="3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7D"/>
    <w:rsid w:val="00025CC9"/>
    <w:rsid w:val="000722F8"/>
    <w:rsid w:val="00221038"/>
    <w:rsid w:val="0028526D"/>
    <w:rsid w:val="0032393E"/>
    <w:rsid w:val="004B01DE"/>
    <w:rsid w:val="004E4B8B"/>
    <w:rsid w:val="0079157D"/>
    <w:rsid w:val="007B6A01"/>
    <w:rsid w:val="00BD4AC5"/>
    <w:rsid w:val="00CD7652"/>
    <w:rsid w:val="00D6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7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link w:val="Heading5Char"/>
    <w:rsid w:val="0079157D"/>
    <w:pPr>
      <w:pBdr>
        <w:top w:val="nil"/>
        <w:left w:val="nil"/>
        <w:bottom w:val="nil"/>
        <w:right w:val="nil"/>
        <w:between w:val="nil"/>
        <w:bar w:val="nil"/>
      </w:pBdr>
      <w:outlineLvl w:val="4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9157D"/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79157D"/>
    <w:pPr>
      <w:ind w:left="720"/>
      <w:contextualSpacing/>
    </w:pPr>
  </w:style>
  <w:style w:type="paragraph" w:customStyle="1" w:styleId="BodyA">
    <w:name w:val="Body A"/>
    <w:rsid w:val="00791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b/>
      <w:bCs/>
      <w:color w:val="000000"/>
      <w:sz w:val="24"/>
      <w:szCs w:val="24"/>
      <w:u w:color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7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link w:val="Heading5Char"/>
    <w:rsid w:val="0079157D"/>
    <w:pPr>
      <w:pBdr>
        <w:top w:val="nil"/>
        <w:left w:val="nil"/>
        <w:bottom w:val="nil"/>
        <w:right w:val="nil"/>
        <w:between w:val="nil"/>
        <w:bar w:val="nil"/>
      </w:pBdr>
      <w:outlineLvl w:val="4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9157D"/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79157D"/>
    <w:pPr>
      <w:ind w:left="720"/>
      <w:contextualSpacing/>
    </w:pPr>
  </w:style>
  <w:style w:type="paragraph" w:customStyle="1" w:styleId="BodyA">
    <w:name w:val="Body A"/>
    <w:rsid w:val="00791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b/>
      <w:bCs/>
      <w:color w:val="000000"/>
      <w:sz w:val="24"/>
      <w:szCs w:val="24"/>
      <w:u w:color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7</cp:revision>
  <cp:lastPrinted>2016-08-23T09:23:00Z</cp:lastPrinted>
  <dcterms:created xsi:type="dcterms:W3CDTF">2016-08-23T08:03:00Z</dcterms:created>
  <dcterms:modified xsi:type="dcterms:W3CDTF">2019-11-05T10:36:00Z</dcterms:modified>
</cp:coreProperties>
</file>